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78"/>
        <w:tblW w:w="15735" w:type="dxa"/>
        <w:tblLook w:val="04A0" w:firstRow="1" w:lastRow="0" w:firstColumn="1" w:lastColumn="0" w:noHBand="0" w:noVBand="1"/>
      </w:tblPr>
      <w:tblGrid>
        <w:gridCol w:w="2694"/>
        <w:gridCol w:w="2551"/>
        <w:gridCol w:w="4111"/>
        <w:gridCol w:w="6379"/>
      </w:tblGrid>
      <w:tr w:rsidR="00324A9F" w14:paraId="0E4ABAC5" w14:textId="77777777" w:rsidTr="00324A9F">
        <w:tc>
          <w:tcPr>
            <w:tcW w:w="15735" w:type="dxa"/>
            <w:gridSpan w:val="4"/>
            <w:shd w:val="clear" w:color="auto" w:fill="000000" w:themeFill="text1"/>
          </w:tcPr>
          <w:p w14:paraId="6C3D7F54" w14:textId="77777777" w:rsidR="00324A9F" w:rsidRPr="00EA0165" w:rsidRDefault="000B40CD" w:rsidP="00324A9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14F959E" wp14:editId="452BAA5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-447040</wp:posOffset>
                      </wp:positionV>
                      <wp:extent cx="9991725" cy="4483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1725" cy="448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F4B45" w14:textId="77777777" w:rsidR="00EA0165" w:rsidRPr="00631E8E" w:rsidRDefault="00EA0165" w:rsidP="00EA01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eastAsiaTheme="minorEastAsia" w:hAnsi="Calibri" w:cstheme="minorBidi"/>
                                      <w:color w:val="000000" w:themeColor="text1"/>
                                      <w:kern w:val="24"/>
                                      <w:position w:val="11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QUICK SUMMARY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COVID-19: Symptom Control Guidelines and the Dying Patient</w:t>
                                  </w:r>
                                  <w:r w:rsidR="00631E8E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31E8E" w:rsidRPr="00631E8E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(v4.0 Dec </w:t>
                                  </w:r>
                                  <w:proofErr w:type="gramStart"/>
                                  <w:r w:rsidR="00631E8E" w:rsidRPr="00631E8E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</w:rPr>
                                    <w:t>21)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position w:val="11"/>
                                      <w:sz w:val="36"/>
                                      <w:szCs w:val="36"/>
                                      <w:vertAlign w:val="superscript"/>
                                    </w:rPr>
                                    <w:t>+</w:t>
                                  </w:r>
                                  <w:proofErr w:type="gramEnd"/>
                                  <w:r w:rsidR="00631E8E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position w:val="11"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7457694F" w14:textId="77777777" w:rsidR="00EA0165" w:rsidRDefault="00EA01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F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8pt;margin-top:-35.2pt;width:786.75pt;height:35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" filled="f" stroked="f">
                      <v:textbox>
                        <w:txbxContent>
                          <w:p w14:paraId="3FDF4B45" w14:textId="77777777" w:rsidR="00EA0165" w:rsidRPr="00631E8E" w:rsidRDefault="00EA0165" w:rsidP="00EA01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EastAsia" w:hAnsi="Calibri" w:cstheme="minorBidi"/>
                                <w:color w:val="000000" w:themeColor="text1"/>
                                <w:kern w:val="24"/>
                                <w:position w:val="1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QUICK SUMMARY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COVID-19: Symptom Control Guidelines and the Dying Patient</w:t>
                            </w:r>
                            <w:r w:rsidR="00631E8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1E8E" w:rsidRPr="00631E8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(v4.0 Dec </w:t>
                            </w:r>
                            <w:proofErr w:type="gramStart"/>
                            <w:r w:rsidR="00631E8E" w:rsidRPr="00631E8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21)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+</w:t>
                            </w:r>
                            <w:proofErr w:type="gramEnd"/>
                            <w:r w:rsidR="00631E8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457694F" w14:textId="77777777" w:rsidR="00EA0165" w:rsidRDefault="00EA0165"/>
                        </w:txbxContent>
                      </v:textbox>
                    </v:shape>
                  </w:pict>
                </mc:Fallback>
              </mc:AlternateContent>
            </w:r>
            <w:r w:rsidR="00324A9F" w:rsidRPr="00EA0165">
              <w:rPr>
                <w:b/>
                <w:bCs/>
                <w:color w:val="FFFFFF" w:themeColor="background1"/>
                <w:sz w:val="18"/>
                <w:szCs w:val="18"/>
              </w:rPr>
              <w:t>Patients may become rapidly symptomatic.  Ensure these guidelines are initiated as soon as symptoms develop and please call Palliative Care if the patient does not respond to treatment described below</w:t>
            </w:r>
          </w:p>
        </w:tc>
      </w:tr>
      <w:tr w:rsidR="00324A9F" w14:paraId="68358468" w14:textId="77777777" w:rsidTr="00324A9F">
        <w:tc>
          <w:tcPr>
            <w:tcW w:w="2694" w:type="dxa"/>
          </w:tcPr>
          <w:p w14:paraId="63EBD7C7" w14:textId="77777777" w:rsidR="00324A9F" w:rsidRPr="00C35C5C" w:rsidRDefault="00324A9F" w:rsidP="00324A9F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Indication</w:t>
            </w:r>
          </w:p>
        </w:tc>
        <w:tc>
          <w:tcPr>
            <w:tcW w:w="2551" w:type="dxa"/>
          </w:tcPr>
          <w:p w14:paraId="69C1E0AE" w14:textId="77777777" w:rsidR="00324A9F" w:rsidRPr="00C35C5C" w:rsidRDefault="00324A9F" w:rsidP="00324A9F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Medication</w:t>
            </w:r>
          </w:p>
        </w:tc>
        <w:tc>
          <w:tcPr>
            <w:tcW w:w="4111" w:type="dxa"/>
          </w:tcPr>
          <w:p w14:paraId="4DD568EC" w14:textId="77777777" w:rsidR="00324A9F" w:rsidRPr="00C35C5C" w:rsidRDefault="00324A9F" w:rsidP="00324A9F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Dose</w:t>
            </w:r>
          </w:p>
        </w:tc>
        <w:tc>
          <w:tcPr>
            <w:tcW w:w="6379" w:type="dxa"/>
          </w:tcPr>
          <w:p w14:paraId="0F270D4A" w14:textId="77777777" w:rsidR="00324A9F" w:rsidRPr="00C35C5C" w:rsidRDefault="00324A9F" w:rsidP="00324A9F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Guidance notes</w:t>
            </w:r>
          </w:p>
        </w:tc>
      </w:tr>
      <w:tr w:rsidR="00324A9F" w:rsidRPr="0021669F" w14:paraId="7AAB3C48" w14:textId="77777777" w:rsidTr="00324A9F">
        <w:trPr>
          <w:trHeight w:val="973"/>
        </w:trPr>
        <w:tc>
          <w:tcPr>
            <w:tcW w:w="2694" w:type="dxa"/>
            <w:vMerge w:val="restart"/>
            <w:vAlign w:val="center"/>
          </w:tcPr>
          <w:p w14:paraId="68257048" w14:textId="77777777" w:rsidR="00324A9F" w:rsidRPr="00C35C5C" w:rsidRDefault="00324A9F" w:rsidP="00324A9F">
            <w:pPr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PAIN</w:t>
            </w:r>
          </w:p>
          <w:p w14:paraId="7F516693" w14:textId="77777777" w:rsidR="00324A9F" w:rsidRDefault="00324A9F" w:rsidP="00324A9F">
            <w:pPr>
              <w:rPr>
                <w:b/>
              </w:rPr>
            </w:pPr>
          </w:p>
          <w:p w14:paraId="70D90F3C" w14:textId="77777777" w:rsidR="00324A9F" w:rsidRPr="00EA0165" w:rsidRDefault="00324A9F" w:rsidP="00324A9F">
            <w:pPr>
              <w:rPr>
                <w:b/>
              </w:rPr>
            </w:pPr>
            <w:r w:rsidRPr="006178BB">
              <w:rPr>
                <w:b/>
                <w:color w:val="FFFFFF" w:themeColor="background1"/>
                <w:highlight w:val="black"/>
                <w:u w:val="single"/>
              </w:rPr>
              <w:t xml:space="preserve">Not </w:t>
            </w:r>
            <w:r w:rsidRPr="006178BB">
              <w:rPr>
                <w:b/>
                <w:color w:val="FFFFFF" w:themeColor="background1"/>
                <w:highlight w:val="black"/>
              </w:rPr>
              <w:t>taking a regular opioid</w:t>
            </w:r>
          </w:p>
        </w:tc>
        <w:tc>
          <w:tcPr>
            <w:tcW w:w="2551" w:type="dxa"/>
            <w:vAlign w:val="center"/>
          </w:tcPr>
          <w:p w14:paraId="522A581F" w14:textId="77777777" w:rsidR="00324A9F" w:rsidRPr="0021669F" w:rsidRDefault="00324A9F" w:rsidP="00324A9F">
            <w:pPr>
              <w:tabs>
                <w:tab w:val="left" w:pos="4197"/>
              </w:tabs>
              <w:rPr>
                <w:b/>
                <w:sz w:val="20"/>
              </w:rPr>
            </w:pPr>
            <w:r w:rsidRPr="0021669F">
              <w:rPr>
                <w:b/>
                <w:sz w:val="20"/>
                <w:highlight w:val="lightGray"/>
              </w:rPr>
              <w:t>MORPHINE SULPHATE</w:t>
            </w:r>
          </w:p>
        </w:tc>
        <w:tc>
          <w:tcPr>
            <w:tcW w:w="4111" w:type="dxa"/>
            <w:vAlign w:val="center"/>
          </w:tcPr>
          <w:p w14:paraId="3D8389AF" w14:textId="77777777" w:rsidR="00324A9F" w:rsidRPr="0021669F" w:rsidRDefault="00324A9F" w:rsidP="00324A9F">
            <w:pPr>
              <w:tabs>
                <w:tab w:val="left" w:pos="4197"/>
              </w:tabs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>2.5mg to 5mg</w:t>
            </w:r>
            <w:r w:rsidRPr="0021669F">
              <w:rPr>
                <w:b/>
                <w:sz w:val="20"/>
                <w:highlight w:val="lightGray"/>
              </w:rPr>
              <w:t xml:space="preserve">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b/>
                <w:sz w:val="20"/>
              </w:rPr>
              <w:t xml:space="preserve">   </w:t>
            </w:r>
            <w:r w:rsidRPr="0021669F">
              <w:rPr>
                <w:sz w:val="20"/>
                <w:highlight w:val="lightGray"/>
              </w:rPr>
              <w:t>1 to 4 hourly PRN</w:t>
            </w:r>
          </w:p>
          <w:p w14:paraId="7A45D20B" w14:textId="77777777" w:rsidR="00324A9F" w:rsidRPr="0021669F" w:rsidRDefault="00324A9F" w:rsidP="00324A9F">
            <w:pPr>
              <w:tabs>
                <w:tab w:val="left" w:pos="4197"/>
              </w:tabs>
              <w:rPr>
                <w:b/>
                <w:sz w:val="20"/>
              </w:rPr>
            </w:pPr>
            <w:r w:rsidRPr="0021669F">
              <w:rPr>
                <w:b/>
                <w:sz w:val="20"/>
              </w:rPr>
              <w:t xml:space="preserve">If the first dose is ineffective after </w:t>
            </w:r>
            <w:r w:rsidRPr="0021669F">
              <w:rPr>
                <w:b/>
                <w:sz w:val="20"/>
                <w:u w:val="single"/>
              </w:rPr>
              <w:t>30</w:t>
            </w:r>
            <w:r w:rsidRPr="0021669F">
              <w:rPr>
                <w:b/>
                <w:sz w:val="20"/>
              </w:rPr>
              <w:t xml:space="preserve"> minutes:</w:t>
            </w:r>
          </w:p>
          <w:p w14:paraId="6397D72C" w14:textId="77777777" w:rsidR="00324A9F" w:rsidRPr="0021669F" w:rsidRDefault="00324A9F" w:rsidP="00324A9F">
            <w:pPr>
              <w:tabs>
                <w:tab w:val="left" w:pos="4197"/>
              </w:tabs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>5mg to 10mg</w:t>
            </w:r>
            <w:r w:rsidRPr="0021669F">
              <w:rPr>
                <w:b/>
                <w:sz w:val="20"/>
                <w:highlight w:val="lightGray"/>
              </w:rPr>
              <w:t xml:space="preserve">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</w:t>
            </w:r>
            <w:r w:rsidRPr="0021669F">
              <w:rPr>
                <w:sz w:val="20"/>
                <w:highlight w:val="lightGray"/>
              </w:rPr>
              <w:t>1 to 4 hourly PRN</w:t>
            </w:r>
          </w:p>
        </w:tc>
        <w:tc>
          <w:tcPr>
            <w:tcW w:w="6379" w:type="dxa"/>
            <w:vMerge w:val="restart"/>
            <w:vAlign w:val="center"/>
          </w:tcPr>
          <w:p w14:paraId="53269178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Contact Palliative Care for advice if</w:t>
            </w:r>
            <w:r w:rsidRPr="0021669F">
              <w:rPr>
                <w:sz w:val="18"/>
              </w:rPr>
              <w:t>:</w:t>
            </w:r>
          </w:p>
          <w:p w14:paraId="09A7844F" w14:textId="77777777" w:rsidR="00324A9F" w:rsidRPr="0021669F" w:rsidRDefault="00905E73" w:rsidP="00324A9F">
            <w:pPr>
              <w:numPr>
                <w:ilvl w:val="1"/>
                <w:numId w:val="1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T</w:t>
            </w:r>
            <w:r w:rsidR="00324A9F" w:rsidRPr="0021669F">
              <w:rPr>
                <w:sz w:val="18"/>
              </w:rPr>
              <w:t xml:space="preserve">he patient is taking a regular opioid and/or adjuvant analgesia </w:t>
            </w:r>
          </w:p>
          <w:p w14:paraId="7A8B8AC2" w14:textId="77777777" w:rsidR="00324A9F" w:rsidRPr="005F77EF" w:rsidRDefault="00905E73" w:rsidP="00324A9F">
            <w:pPr>
              <w:numPr>
                <w:ilvl w:val="1"/>
                <w:numId w:val="1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H</w:t>
            </w:r>
            <w:r w:rsidR="00324A9F" w:rsidRPr="0021669F">
              <w:rPr>
                <w:sz w:val="18"/>
              </w:rPr>
              <w:t xml:space="preserve">as significant multi-morbidity </w:t>
            </w:r>
            <w:r w:rsidR="00324A9F" w:rsidRPr="005F77EF">
              <w:rPr>
                <w:sz w:val="18"/>
              </w:rPr>
              <w:t>e.g. renal or liver impairment</w:t>
            </w:r>
          </w:p>
          <w:p w14:paraId="5657404B" w14:textId="77777777" w:rsidR="00324A9F" w:rsidRPr="005F77EF" w:rsidRDefault="00905E73" w:rsidP="00324A9F">
            <w:pPr>
              <w:numPr>
                <w:ilvl w:val="1"/>
                <w:numId w:val="1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S</w:t>
            </w:r>
            <w:r w:rsidR="00324A9F" w:rsidRPr="0021669F">
              <w:rPr>
                <w:sz w:val="18"/>
              </w:rPr>
              <w:t xml:space="preserve">ymptoms not controlled after more </w:t>
            </w:r>
            <w:r w:rsidR="00324A9F" w:rsidRPr="005F77EF">
              <w:rPr>
                <w:sz w:val="18"/>
              </w:rPr>
              <w:t xml:space="preserve">than 2 doses </w:t>
            </w:r>
          </w:p>
          <w:p w14:paraId="6C4A54FC" w14:textId="77777777" w:rsidR="00324A9F" w:rsidRPr="0021669F" w:rsidRDefault="00905E73" w:rsidP="00324A9F">
            <w:pPr>
              <w:numPr>
                <w:ilvl w:val="1"/>
                <w:numId w:val="1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T</w:t>
            </w:r>
            <w:r w:rsidR="00324A9F" w:rsidRPr="0021669F">
              <w:rPr>
                <w:sz w:val="18"/>
              </w:rPr>
              <w:t>he patient requires a syringe pump</w:t>
            </w:r>
            <w:r w:rsidR="00324A9F">
              <w:rPr>
                <w:sz w:val="18"/>
              </w:rPr>
              <w:t xml:space="preserve"> (CSCI)</w:t>
            </w:r>
          </w:p>
        </w:tc>
      </w:tr>
      <w:tr w:rsidR="00324A9F" w:rsidRPr="0021669F" w14:paraId="06C67571" w14:textId="77777777" w:rsidTr="00324A9F">
        <w:trPr>
          <w:trHeight w:val="290"/>
        </w:trPr>
        <w:tc>
          <w:tcPr>
            <w:tcW w:w="2694" w:type="dxa"/>
            <w:vMerge/>
          </w:tcPr>
          <w:p w14:paraId="1634965D" w14:textId="77777777" w:rsidR="00324A9F" w:rsidRPr="00EA0165" w:rsidRDefault="00324A9F" w:rsidP="00324A9F">
            <w:pPr>
              <w:rPr>
                <w:b/>
              </w:rPr>
            </w:pPr>
          </w:p>
        </w:tc>
        <w:tc>
          <w:tcPr>
            <w:tcW w:w="6662" w:type="dxa"/>
            <w:gridSpan w:val="2"/>
            <w:shd w:val="clear" w:color="auto" w:fill="000000" w:themeFill="text1"/>
            <w:vAlign w:val="center"/>
          </w:tcPr>
          <w:p w14:paraId="7A79192A" w14:textId="77777777" w:rsidR="00324A9F" w:rsidRPr="0021669F" w:rsidRDefault="00324A9F" w:rsidP="00324A9F">
            <w:pPr>
              <w:rPr>
                <w:sz w:val="20"/>
              </w:rPr>
            </w:pPr>
            <w:r w:rsidRPr="0021669F">
              <w:rPr>
                <w:b/>
                <w:bCs/>
                <w:sz w:val="20"/>
              </w:rPr>
              <w:t>If morphine intolerance or allergy, or if eGFR is &lt;30mL/min:</w:t>
            </w:r>
          </w:p>
        </w:tc>
        <w:tc>
          <w:tcPr>
            <w:tcW w:w="6379" w:type="dxa"/>
            <w:vMerge/>
          </w:tcPr>
          <w:p w14:paraId="12C766FB" w14:textId="77777777" w:rsidR="00324A9F" w:rsidRPr="0021669F" w:rsidRDefault="00324A9F" w:rsidP="00324A9F">
            <w:pPr>
              <w:rPr>
                <w:sz w:val="18"/>
              </w:rPr>
            </w:pPr>
          </w:p>
        </w:tc>
      </w:tr>
      <w:tr w:rsidR="00324A9F" w:rsidRPr="0021669F" w14:paraId="278970E5" w14:textId="77777777" w:rsidTr="000B40CD">
        <w:trPr>
          <w:trHeight w:val="1105"/>
        </w:trPr>
        <w:tc>
          <w:tcPr>
            <w:tcW w:w="2694" w:type="dxa"/>
            <w:vMerge/>
          </w:tcPr>
          <w:p w14:paraId="069423C1" w14:textId="77777777" w:rsidR="00324A9F" w:rsidRPr="00EA0165" w:rsidRDefault="00324A9F" w:rsidP="00324A9F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C2C6353" w14:textId="77777777" w:rsidR="00324A9F" w:rsidRPr="0021669F" w:rsidRDefault="00324A9F" w:rsidP="00324A9F">
            <w:pPr>
              <w:rPr>
                <w:b/>
                <w:sz w:val="20"/>
              </w:rPr>
            </w:pPr>
            <w:r w:rsidRPr="0021669F">
              <w:rPr>
                <w:b/>
                <w:sz w:val="20"/>
                <w:highlight w:val="lightGray"/>
              </w:rPr>
              <w:t>OXYCODONE</w:t>
            </w:r>
          </w:p>
        </w:tc>
        <w:tc>
          <w:tcPr>
            <w:tcW w:w="4111" w:type="dxa"/>
            <w:vAlign w:val="center"/>
          </w:tcPr>
          <w:p w14:paraId="4DEB5A8B" w14:textId="77777777" w:rsidR="00324A9F" w:rsidRPr="0021669F" w:rsidRDefault="00324A9F" w:rsidP="00324A9F">
            <w:pPr>
              <w:tabs>
                <w:tab w:val="left" w:pos="4197"/>
              </w:tabs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 xml:space="preserve">2.5mg to 5mg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 </w:t>
            </w:r>
            <w:r w:rsidRPr="0021669F">
              <w:rPr>
                <w:sz w:val="20"/>
                <w:highlight w:val="lightGray"/>
              </w:rPr>
              <w:t>1 to 4 hourly PRN</w:t>
            </w:r>
          </w:p>
          <w:p w14:paraId="58FD55D8" w14:textId="77777777" w:rsidR="00324A9F" w:rsidRPr="0021669F" w:rsidRDefault="00324A9F" w:rsidP="00324A9F">
            <w:pPr>
              <w:tabs>
                <w:tab w:val="left" w:pos="4197"/>
              </w:tabs>
              <w:rPr>
                <w:b/>
                <w:sz w:val="20"/>
              </w:rPr>
            </w:pPr>
            <w:r w:rsidRPr="0021669F">
              <w:rPr>
                <w:b/>
                <w:sz w:val="20"/>
              </w:rPr>
              <w:t xml:space="preserve">If the first dose is ineffective after </w:t>
            </w:r>
            <w:r w:rsidRPr="0021669F">
              <w:rPr>
                <w:b/>
                <w:sz w:val="20"/>
                <w:u w:val="single"/>
              </w:rPr>
              <w:t>30</w:t>
            </w:r>
            <w:r w:rsidRPr="0021669F">
              <w:rPr>
                <w:b/>
                <w:sz w:val="20"/>
              </w:rPr>
              <w:t xml:space="preserve"> minutes:</w:t>
            </w:r>
          </w:p>
          <w:p w14:paraId="09D32706" w14:textId="77777777" w:rsidR="00324A9F" w:rsidRPr="0021669F" w:rsidRDefault="00324A9F" w:rsidP="00324A9F">
            <w:pPr>
              <w:tabs>
                <w:tab w:val="left" w:pos="4197"/>
              </w:tabs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 xml:space="preserve">5mg to 10mg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</w:t>
            </w:r>
            <w:r w:rsidRPr="0021669F">
              <w:rPr>
                <w:sz w:val="20"/>
                <w:highlight w:val="lightGray"/>
              </w:rPr>
              <w:t>1 to 4 hourly PRN</w:t>
            </w:r>
          </w:p>
        </w:tc>
        <w:tc>
          <w:tcPr>
            <w:tcW w:w="6379" w:type="dxa"/>
            <w:vMerge/>
          </w:tcPr>
          <w:p w14:paraId="048CC5B5" w14:textId="77777777" w:rsidR="00324A9F" w:rsidRPr="0021669F" w:rsidRDefault="00324A9F" w:rsidP="00324A9F">
            <w:pPr>
              <w:rPr>
                <w:sz w:val="18"/>
              </w:rPr>
            </w:pPr>
          </w:p>
        </w:tc>
      </w:tr>
      <w:tr w:rsidR="000B40CD" w:rsidRPr="0021669F" w14:paraId="62E05463" w14:textId="77777777" w:rsidTr="000B40CD">
        <w:trPr>
          <w:trHeight w:val="853"/>
        </w:trPr>
        <w:tc>
          <w:tcPr>
            <w:tcW w:w="2694" w:type="dxa"/>
            <w:vMerge w:val="restart"/>
            <w:vAlign w:val="center"/>
          </w:tcPr>
          <w:p w14:paraId="5EBCC73F" w14:textId="77777777" w:rsidR="000B40CD" w:rsidRPr="00EA0165" w:rsidRDefault="000B40CD" w:rsidP="00324A9F">
            <w:pPr>
              <w:rPr>
                <w:b/>
              </w:rPr>
            </w:pPr>
            <w:r w:rsidRPr="0014660A">
              <w:rPr>
                <w:b/>
                <w:sz w:val="28"/>
              </w:rPr>
              <w:t>DELIRIUM</w:t>
            </w:r>
          </w:p>
        </w:tc>
        <w:tc>
          <w:tcPr>
            <w:tcW w:w="2551" w:type="dxa"/>
            <w:vAlign w:val="center"/>
          </w:tcPr>
          <w:p w14:paraId="0B34B5B9" w14:textId="77777777" w:rsidR="000B40CD" w:rsidRDefault="000B40CD" w:rsidP="000B40CD">
            <w:pPr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>HALOPERIDOL</w:t>
            </w:r>
          </w:p>
          <w:p w14:paraId="002C3B06" w14:textId="77777777" w:rsidR="00D41BE6" w:rsidRDefault="00D41BE6" w:rsidP="000B40CD">
            <w:pPr>
              <w:rPr>
                <w:b/>
                <w:sz w:val="20"/>
              </w:rPr>
            </w:pPr>
          </w:p>
          <w:p w14:paraId="3BE10D3A" w14:textId="77777777" w:rsidR="000B40CD" w:rsidRPr="000B40CD" w:rsidRDefault="000B40CD" w:rsidP="000B40CD">
            <w:pPr>
              <w:rPr>
                <w:b/>
                <w:sz w:val="20"/>
              </w:rPr>
            </w:pPr>
            <w:r w:rsidRPr="000B40CD">
              <w:rPr>
                <w:b/>
                <w:sz w:val="20"/>
              </w:rPr>
              <w:t>OR</w:t>
            </w:r>
          </w:p>
        </w:tc>
        <w:tc>
          <w:tcPr>
            <w:tcW w:w="4111" w:type="dxa"/>
            <w:vAlign w:val="center"/>
          </w:tcPr>
          <w:p w14:paraId="43C53ED1" w14:textId="77777777" w:rsidR="000B40CD" w:rsidRPr="0021669F" w:rsidRDefault="000B40CD" w:rsidP="000B40CD">
            <w:pPr>
              <w:rPr>
                <w:b/>
                <w:sz w:val="20"/>
              </w:rPr>
            </w:pPr>
            <w:r w:rsidRPr="007101ED">
              <w:rPr>
                <w:sz w:val="20"/>
                <w:highlight w:val="lightGray"/>
              </w:rPr>
              <w:t xml:space="preserve">1.5mg </w:t>
            </w:r>
            <w:r w:rsidRPr="007101ED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7101ED">
              <w:rPr>
                <w:sz w:val="20"/>
                <w:highlight w:val="lightGray"/>
              </w:rPr>
              <w:t xml:space="preserve"> from 1 to 4 hourly PRN</w:t>
            </w:r>
            <w:r>
              <w:rPr>
                <w:sz w:val="20"/>
                <w:highlight w:val="lightGray"/>
              </w:rPr>
              <w:t xml:space="preserve"> </w:t>
            </w:r>
            <w:r w:rsidRPr="007101ED">
              <w:rPr>
                <w:sz w:val="20"/>
                <w:highlight w:val="lightGray"/>
              </w:rPr>
              <w:t>(max 8mg per 24 hours)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379" w:type="dxa"/>
            <w:vMerge w:val="restart"/>
            <w:vAlign w:val="center"/>
          </w:tcPr>
          <w:p w14:paraId="0107AA80" w14:textId="77777777" w:rsidR="000B40CD" w:rsidRDefault="000B40CD" w:rsidP="007101ED">
            <w:pPr>
              <w:rPr>
                <w:b/>
                <w:bCs/>
                <w:sz w:val="18"/>
              </w:rPr>
            </w:pPr>
          </w:p>
          <w:p w14:paraId="1E24AA6C" w14:textId="77777777" w:rsidR="000B40CD" w:rsidRPr="0021669F" w:rsidRDefault="000B40CD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Contact Palliative Care Team (PCT)  for advice if</w:t>
            </w:r>
            <w:r w:rsidRPr="0021669F">
              <w:rPr>
                <w:sz w:val="18"/>
              </w:rPr>
              <w:t>:</w:t>
            </w:r>
          </w:p>
          <w:p w14:paraId="7FAAB45E" w14:textId="77777777" w:rsidR="000B40CD" w:rsidRPr="0021669F" w:rsidRDefault="000B40CD" w:rsidP="00324A9F">
            <w:pPr>
              <w:numPr>
                <w:ilvl w:val="1"/>
                <w:numId w:val="2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H</w:t>
            </w:r>
            <w:r w:rsidRPr="0021669F">
              <w:rPr>
                <w:sz w:val="18"/>
              </w:rPr>
              <w:t>as significant multi-morbidity e.g. renal or liver impairment</w:t>
            </w:r>
          </w:p>
          <w:p w14:paraId="52D67C43" w14:textId="77777777" w:rsidR="000B40CD" w:rsidRPr="0021669F" w:rsidRDefault="000B40CD" w:rsidP="00324A9F">
            <w:pPr>
              <w:numPr>
                <w:ilvl w:val="1"/>
                <w:numId w:val="2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S</w:t>
            </w:r>
            <w:r w:rsidRPr="0021669F">
              <w:rPr>
                <w:sz w:val="18"/>
              </w:rPr>
              <w:t xml:space="preserve">ymptoms not controlled after more than 2 doses </w:t>
            </w:r>
          </w:p>
          <w:p w14:paraId="0969ED2F" w14:textId="77777777" w:rsidR="000B40CD" w:rsidRPr="0021669F" w:rsidRDefault="000B40CD" w:rsidP="00324A9F">
            <w:pPr>
              <w:numPr>
                <w:ilvl w:val="1"/>
                <w:numId w:val="2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P</w:t>
            </w:r>
            <w:r w:rsidRPr="0021669F">
              <w:rPr>
                <w:sz w:val="18"/>
              </w:rPr>
              <w:t>atient has Parkinson's disease</w:t>
            </w:r>
          </w:p>
          <w:p w14:paraId="3FBCEB8E" w14:textId="77777777" w:rsidR="000B40CD" w:rsidRDefault="000B40CD" w:rsidP="00324A9F">
            <w:pPr>
              <w:numPr>
                <w:ilvl w:val="1"/>
                <w:numId w:val="2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T</w:t>
            </w:r>
            <w:r w:rsidRPr="0021669F">
              <w:rPr>
                <w:sz w:val="18"/>
              </w:rPr>
              <w:t xml:space="preserve">he patient requires a syringe pump (CSCI) </w:t>
            </w:r>
          </w:p>
          <w:p w14:paraId="4DA58B5D" w14:textId="77777777" w:rsidR="00DB4EC5" w:rsidRPr="0021669F" w:rsidRDefault="00DB4EC5" w:rsidP="00324A9F">
            <w:pPr>
              <w:numPr>
                <w:ilvl w:val="1"/>
                <w:numId w:val="2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 xml:space="preserve">Needing to start Levomepromazine SC </w:t>
            </w:r>
          </w:p>
        </w:tc>
      </w:tr>
      <w:tr w:rsidR="000B40CD" w:rsidRPr="0021669F" w14:paraId="0C19DE3E" w14:textId="77777777" w:rsidTr="00324A9F">
        <w:trPr>
          <w:trHeight w:val="991"/>
        </w:trPr>
        <w:tc>
          <w:tcPr>
            <w:tcW w:w="2694" w:type="dxa"/>
            <w:vMerge/>
            <w:vAlign w:val="center"/>
          </w:tcPr>
          <w:p w14:paraId="53123F7E" w14:textId="77777777" w:rsidR="000B40CD" w:rsidRPr="0014660A" w:rsidRDefault="000B40CD" w:rsidP="00324A9F">
            <w:pPr>
              <w:rPr>
                <w:b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E1AA354" w14:textId="77777777" w:rsidR="000B40CD" w:rsidRPr="000B40CD" w:rsidRDefault="000B40CD" w:rsidP="000B40CD">
            <w:pPr>
              <w:rPr>
                <w:b/>
                <w:bCs/>
                <w:sz w:val="20"/>
              </w:rPr>
            </w:pPr>
            <w:r w:rsidRPr="0021669F">
              <w:rPr>
                <w:sz w:val="20"/>
                <w:highlight w:val="lightGray"/>
              </w:rPr>
              <w:t>LEVOMEPROMAZINE</w:t>
            </w:r>
          </w:p>
        </w:tc>
        <w:tc>
          <w:tcPr>
            <w:tcW w:w="4111" w:type="dxa"/>
            <w:vAlign w:val="center"/>
          </w:tcPr>
          <w:p w14:paraId="5EF8D68F" w14:textId="77777777" w:rsidR="000B40CD" w:rsidRDefault="000B40CD" w:rsidP="000B40CD">
            <w:pPr>
              <w:rPr>
                <w:sz w:val="20"/>
                <w:highlight w:val="lightGray"/>
              </w:rPr>
            </w:pPr>
            <w:r w:rsidRPr="0021669F">
              <w:rPr>
                <w:sz w:val="20"/>
                <w:highlight w:val="lightGray"/>
              </w:rPr>
              <w:t xml:space="preserve">12.5mg to 25mg </w:t>
            </w:r>
            <w:r w:rsidRPr="0021669F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</w:t>
            </w:r>
            <w:r w:rsidRPr="0021669F">
              <w:rPr>
                <w:sz w:val="20"/>
                <w:highlight w:val="lightGray"/>
              </w:rPr>
              <w:t>from</w:t>
            </w:r>
            <w:r w:rsidRPr="0021669F">
              <w:rPr>
                <w:sz w:val="20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>1</w:t>
            </w:r>
            <w:r w:rsidRPr="0021669F">
              <w:rPr>
                <w:b/>
                <w:sz w:val="20"/>
                <w:highlight w:val="lightGray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>to 2</w:t>
            </w:r>
            <w:r w:rsidRPr="0021669F">
              <w:rPr>
                <w:sz w:val="20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>hourly PRN</w:t>
            </w:r>
          </w:p>
          <w:p w14:paraId="0B4C0E55" w14:textId="77777777" w:rsidR="000B40CD" w:rsidRPr="0021669F" w:rsidRDefault="000B40CD" w:rsidP="000B40CD">
            <w:pPr>
              <w:rPr>
                <w:sz w:val="20"/>
                <w:highlight w:val="lightGray"/>
              </w:rPr>
            </w:pPr>
          </w:p>
          <w:p w14:paraId="7FCE994F" w14:textId="77777777" w:rsidR="000B40CD" w:rsidRDefault="000B40CD" w:rsidP="000B40CD">
            <w:pPr>
              <w:rPr>
                <w:b/>
                <w:bCs/>
                <w:sz w:val="20"/>
              </w:rPr>
            </w:pPr>
            <w:r w:rsidRPr="0021669F">
              <w:rPr>
                <w:b/>
                <w:bCs/>
                <w:sz w:val="20"/>
              </w:rPr>
              <w:t xml:space="preserve">If </w:t>
            </w:r>
            <w:r w:rsidRPr="0021669F">
              <w:rPr>
                <w:b/>
                <w:bCs/>
                <w:i/>
                <w:iCs/>
                <w:sz w:val="20"/>
                <w:u w:val="single"/>
              </w:rPr>
              <w:t>not</w:t>
            </w:r>
            <w:r w:rsidRPr="000B40CD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effective</w:t>
            </w:r>
          </w:p>
          <w:p w14:paraId="33DC6203" w14:textId="77777777" w:rsidR="000B40CD" w:rsidRPr="0021669F" w:rsidRDefault="000B40CD" w:rsidP="000B40CD">
            <w:pPr>
              <w:rPr>
                <w:sz w:val="20"/>
                <w:highlight w:val="lightGray"/>
              </w:rPr>
            </w:pPr>
          </w:p>
          <w:p w14:paraId="28A8DFBD" w14:textId="77777777" w:rsidR="000B40CD" w:rsidRPr="000B40CD" w:rsidRDefault="000B40CD" w:rsidP="000B40CD">
            <w:pPr>
              <w:rPr>
                <w:sz w:val="20"/>
                <w:highlight w:val="lightGray"/>
              </w:rPr>
            </w:pPr>
            <w:r w:rsidRPr="0021669F">
              <w:rPr>
                <w:sz w:val="20"/>
                <w:highlight w:val="lightGray"/>
              </w:rPr>
              <w:t>25mg</w:t>
            </w:r>
            <w:r w:rsidRPr="0021669F">
              <w:rPr>
                <w:sz w:val="20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 xml:space="preserve">to 50mg </w:t>
            </w:r>
            <w:r w:rsidRPr="0021669F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>from 1-2</w:t>
            </w:r>
            <w:r w:rsidRPr="0021669F">
              <w:rPr>
                <w:sz w:val="20"/>
              </w:rPr>
              <w:t xml:space="preserve"> </w:t>
            </w:r>
            <w:r w:rsidRPr="0021669F">
              <w:rPr>
                <w:sz w:val="20"/>
                <w:highlight w:val="lightGray"/>
              </w:rPr>
              <w:t>hourly PRN (for severe delirium/agitation</w:t>
            </w:r>
            <w:r w:rsidR="00D41BE6">
              <w:rPr>
                <w:sz w:val="20"/>
                <w:highlight w:val="lightGray"/>
              </w:rPr>
              <w:t>, max 200mg/24hrs</w:t>
            </w:r>
            <w:r w:rsidRPr="0021669F">
              <w:rPr>
                <w:sz w:val="20"/>
                <w:highlight w:val="lightGray"/>
              </w:rPr>
              <w:t>)</w:t>
            </w:r>
          </w:p>
        </w:tc>
        <w:tc>
          <w:tcPr>
            <w:tcW w:w="6379" w:type="dxa"/>
            <w:vMerge/>
            <w:vAlign w:val="center"/>
          </w:tcPr>
          <w:p w14:paraId="719C168C" w14:textId="77777777" w:rsidR="000B40CD" w:rsidRDefault="000B40CD" w:rsidP="007101ED">
            <w:pPr>
              <w:rPr>
                <w:b/>
                <w:bCs/>
                <w:sz w:val="18"/>
              </w:rPr>
            </w:pPr>
          </w:p>
        </w:tc>
      </w:tr>
      <w:tr w:rsidR="00324A9F" w:rsidRPr="0021669F" w14:paraId="735CD97C" w14:textId="77777777" w:rsidTr="00324A9F">
        <w:trPr>
          <w:trHeight w:val="135"/>
        </w:trPr>
        <w:tc>
          <w:tcPr>
            <w:tcW w:w="2694" w:type="dxa"/>
            <w:vMerge w:val="restart"/>
            <w:vAlign w:val="center"/>
          </w:tcPr>
          <w:p w14:paraId="576F9ADB" w14:textId="77777777" w:rsidR="00324A9F" w:rsidRDefault="00324A9F" w:rsidP="00324A9F">
            <w:pPr>
              <w:rPr>
                <w:b/>
                <w:sz w:val="28"/>
              </w:rPr>
            </w:pPr>
            <w:r w:rsidRPr="0014660A">
              <w:rPr>
                <w:b/>
                <w:sz w:val="28"/>
              </w:rPr>
              <w:t>AGITATION/</w:t>
            </w:r>
          </w:p>
          <w:p w14:paraId="6F94B572" w14:textId="77777777" w:rsidR="00324A9F" w:rsidRPr="00EA0165" w:rsidRDefault="00324A9F" w:rsidP="00324A9F">
            <w:pPr>
              <w:rPr>
                <w:b/>
              </w:rPr>
            </w:pPr>
            <w:r w:rsidRPr="0014660A">
              <w:rPr>
                <w:b/>
                <w:sz w:val="28"/>
              </w:rPr>
              <w:t>RESTLESSNESS</w:t>
            </w:r>
          </w:p>
        </w:tc>
        <w:tc>
          <w:tcPr>
            <w:tcW w:w="2551" w:type="dxa"/>
            <w:vAlign w:val="center"/>
          </w:tcPr>
          <w:p w14:paraId="3701DA37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sz w:val="20"/>
                <w:highlight w:val="lightGray"/>
              </w:rPr>
              <w:t>MIDAZOLAM</w:t>
            </w:r>
          </w:p>
          <w:p w14:paraId="5D1D36F0" w14:textId="77777777" w:rsidR="00324A9F" w:rsidRPr="0021669F" w:rsidRDefault="00324A9F" w:rsidP="00324A9F">
            <w:pPr>
              <w:rPr>
                <w:sz w:val="20"/>
              </w:rPr>
            </w:pPr>
          </w:p>
          <w:p w14:paraId="44D16F8D" w14:textId="77777777" w:rsidR="00324A9F" w:rsidRPr="0021669F" w:rsidRDefault="00324A9F" w:rsidP="00324A9F">
            <w:pPr>
              <w:rPr>
                <w:sz w:val="20"/>
              </w:rPr>
            </w:pPr>
            <w:r w:rsidRPr="0021669F">
              <w:rPr>
                <w:b/>
                <w:bCs/>
                <w:sz w:val="20"/>
              </w:rPr>
              <w:t>If effective, continue with:</w:t>
            </w:r>
          </w:p>
        </w:tc>
        <w:tc>
          <w:tcPr>
            <w:tcW w:w="4111" w:type="dxa"/>
            <w:vAlign w:val="center"/>
          </w:tcPr>
          <w:p w14:paraId="31B15050" w14:textId="77777777" w:rsidR="000D1A06" w:rsidRDefault="00324A9F" w:rsidP="00324A9F">
            <w:pPr>
              <w:rPr>
                <w:sz w:val="20"/>
                <w:highlight w:val="lightGray"/>
              </w:rPr>
            </w:pPr>
            <w:r w:rsidRPr="00C03EA4">
              <w:rPr>
                <w:sz w:val="20"/>
                <w:highlight w:val="lightGray"/>
              </w:rPr>
              <w:t xml:space="preserve">2.5mg to 5mg </w:t>
            </w:r>
            <w:r w:rsidRPr="00C03EA4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="000D1A06">
              <w:rPr>
                <w:sz w:val="20"/>
                <w:highlight w:val="lightGray"/>
              </w:rPr>
              <w:t xml:space="preserve"> STAT </w:t>
            </w:r>
          </w:p>
          <w:p w14:paraId="7A62C99A" w14:textId="77777777" w:rsidR="000D1A06" w:rsidRDefault="000D1A06" w:rsidP="00324A9F">
            <w:pPr>
              <w:rPr>
                <w:sz w:val="20"/>
                <w:highlight w:val="lightGray"/>
              </w:rPr>
            </w:pPr>
          </w:p>
          <w:p w14:paraId="3ADD1028" w14:textId="77777777" w:rsidR="00324A9F" w:rsidRPr="00C03EA4" w:rsidRDefault="000D1A06" w:rsidP="00324A9F">
            <w:p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(See VITAL POINT in notes, NB max dose 30mg/24hours unless SPCT advice)</w:t>
            </w:r>
          </w:p>
          <w:p w14:paraId="4DC1A812" w14:textId="77777777" w:rsidR="00324A9F" w:rsidRPr="00C03EA4" w:rsidRDefault="00324A9F" w:rsidP="00324A9F">
            <w:pPr>
              <w:rPr>
                <w:sz w:val="20"/>
                <w:highlight w:val="lightGray"/>
              </w:rPr>
            </w:pPr>
          </w:p>
          <w:p w14:paraId="195996B4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sz w:val="20"/>
                <w:highlight w:val="lightGray"/>
              </w:rPr>
              <w:t xml:space="preserve">2.5mg to 5mg </w:t>
            </w:r>
            <w:r w:rsidRPr="00C03EA4">
              <w:rPr>
                <w:b/>
                <w:bCs/>
                <w:sz w:val="20"/>
                <w:highlight w:val="lightGray"/>
                <w:u w:val="single"/>
              </w:rPr>
              <w:t xml:space="preserve">SC </w:t>
            </w:r>
            <w:r w:rsidRPr="00C03EA4">
              <w:rPr>
                <w:sz w:val="20"/>
                <w:highlight w:val="lightGray"/>
              </w:rPr>
              <w:t>from 1 to 4 hourly PRN</w:t>
            </w:r>
            <w:r w:rsidRPr="0021669F">
              <w:rPr>
                <w:sz w:val="20"/>
              </w:rPr>
              <w:t> </w:t>
            </w:r>
          </w:p>
        </w:tc>
        <w:tc>
          <w:tcPr>
            <w:tcW w:w="6379" w:type="dxa"/>
            <w:vMerge w:val="restart"/>
          </w:tcPr>
          <w:p w14:paraId="1CF73AE7" w14:textId="77777777" w:rsidR="00324A9F" w:rsidRDefault="00324A9F" w:rsidP="00324A9F">
            <w:pPr>
              <w:ind w:left="284"/>
              <w:rPr>
                <w:b/>
                <w:bCs/>
                <w:sz w:val="18"/>
              </w:rPr>
            </w:pPr>
            <w:r w:rsidRPr="0021669F">
              <w:rPr>
                <w:b/>
                <w:bCs/>
                <w:sz w:val="18"/>
              </w:rPr>
              <w:t>VITAL POINT – Please  review effect of midazolam SC STAT and  if not effective</w:t>
            </w:r>
          </w:p>
          <w:p w14:paraId="539B7CA5" w14:textId="77777777" w:rsidR="00324A9F" w:rsidRDefault="00324A9F" w:rsidP="00324A9F">
            <w:pPr>
              <w:ind w:left="284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</w:t>
            </w:r>
            <w:r w:rsidRPr="0021669F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                     </w:t>
            </w:r>
            <w:r w:rsidRPr="0021669F">
              <w:rPr>
                <w:b/>
                <w:bCs/>
                <w:sz w:val="18"/>
              </w:rPr>
              <w:t>within 20-30 minutes then give next higher dose</w:t>
            </w:r>
            <w:r w:rsidRPr="0021669F">
              <w:rPr>
                <w:sz w:val="18"/>
              </w:rPr>
              <w:t xml:space="preserve"> </w:t>
            </w:r>
          </w:p>
          <w:p w14:paraId="0F099FC9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>
              <w:rPr>
                <w:bCs/>
                <w:sz w:val="18"/>
              </w:rPr>
              <w:t xml:space="preserve">                           </w:t>
            </w:r>
            <w:r w:rsidRPr="0021669F">
              <w:rPr>
                <w:bCs/>
                <w:sz w:val="18"/>
              </w:rPr>
              <w:t>e.g. 2.5mg to 5mg, 5mg to 10mg SC</w:t>
            </w:r>
          </w:p>
          <w:p w14:paraId="7F438D53" w14:textId="77777777" w:rsidR="00324A9F" w:rsidRPr="0021669F" w:rsidRDefault="00324A9F" w:rsidP="00324A9F">
            <w:pPr>
              <w:ind w:left="284"/>
              <w:rPr>
                <w:b/>
                <w:bCs/>
                <w:sz w:val="18"/>
              </w:rPr>
            </w:pPr>
            <w:r w:rsidRPr="0021669F">
              <w:rPr>
                <w:b/>
                <w:bCs/>
                <w:sz w:val="18"/>
              </w:rPr>
              <w:t xml:space="preserve">NB: 1 - If needing several stat doses, patient may need CSCI – speak to </w:t>
            </w:r>
            <w:r>
              <w:rPr>
                <w:b/>
                <w:bCs/>
                <w:sz w:val="18"/>
              </w:rPr>
              <w:t>S</w:t>
            </w:r>
            <w:r w:rsidRPr="0021669F">
              <w:rPr>
                <w:b/>
                <w:bCs/>
                <w:sz w:val="18"/>
              </w:rPr>
              <w:t xml:space="preserve">PCT </w:t>
            </w:r>
          </w:p>
          <w:p w14:paraId="5D91A8E7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 xml:space="preserve">NB: 2 - Watch for paradoxical </w:t>
            </w:r>
            <w:r>
              <w:rPr>
                <w:b/>
                <w:bCs/>
                <w:sz w:val="18"/>
              </w:rPr>
              <w:t>agitation with benzodiazepines</w:t>
            </w:r>
          </w:p>
          <w:p w14:paraId="38099A95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Review reversible causes</w:t>
            </w:r>
            <w:r w:rsidRPr="0021669F">
              <w:rPr>
                <w:sz w:val="18"/>
              </w:rPr>
              <w:t xml:space="preserve">: </w:t>
            </w:r>
            <w:r w:rsidRPr="0021669F">
              <w:rPr>
                <w:sz w:val="18"/>
              </w:rPr>
              <w:tab/>
            </w:r>
          </w:p>
          <w:p w14:paraId="637C18D9" w14:textId="77777777" w:rsidR="00324A9F" w:rsidRPr="0021669F" w:rsidRDefault="00905E73" w:rsidP="00324A9F">
            <w:pPr>
              <w:pStyle w:val="ListParagraph"/>
              <w:numPr>
                <w:ilvl w:val="0"/>
                <w:numId w:val="5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F</w:t>
            </w:r>
            <w:r w:rsidR="00324A9F" w:rsidRPr="0021669F">
              <w:rPr>
                <w:sz w:val="18"/>
              </w:rPr>
              <w:t>or example: constipation, urinary retention, pain, withdrawal (medication, nicotine, alcohol), spiritual and psychological needs</w:t>
            </w:r>
          </w:p>
          <w:p w14:paraId="2AD22B0E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Supportive measures</w:t>
            </w:r>
            <w:r w:rsidRPr="0021669F">
              <w:rPr>
                <w:sz w:val="18"/>
              </w:rPr>
              <w:t xml:space="preserve">: </w:t>
            </w:r>
            <w:r w:rsidRPr="0021669F">
              <w:rPr>
                <w:sz w:val="18"/>
              </w:rPr>
              <w:tab/>
            </w:r>
          </w:p>
          <w:p w14:paraId="5BCA72FA" w14:textId="77777777" w:rsidR="00324A9F" w:rsidRPr="0021669F" w:rsidRDefault="00905E73" w:rsidP="00324A9F">
            <w:pPr>
              <w:pStyle w:val="ListParagraph"/>
              <w:numPr>
                <w:ilvl w:val="0"/>
                <w:numId w:val="5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A</w:t>
            </w:r>
            <w:r w:rsidR="00324A9F" w:rsidRPr="0021669F">
              <w:rPr>
                <w:sz w:val="18"/>
              </w:rPr>
              <w:t>ssurance and explanation. Adequate positioning of the patient to aid breathing, oxygen if evidence of hypoxia</w:t>
            </w:r>
          </w:p>
          <w:p w14:paraId="00A9D82F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Contact Palliative Care for advice</w:t>
            </w:r>
            <w:r>
              <w:rPr>
                <w:b/>
                <w:bCs/>
                <w:sz w:val="18"/>
              </w:rPr>
              <w:t xml:space="preserve"> </w:t>
            </w:r>
            <w:r w:rsidRPr="0021669F">
              <w:rPr>
                <w:b/>
                <w:bCs/>
                <w:sz w:val="18"/>
              </w:rPr>
              <w:t>as for Delirium</w:t>
            </w:r>
          </w:p>
          <w:p w14:paraId="0ED7441E" w14:textId="77777777" w:rsidR="00324A9F" w:rsidRPr="0021669F" w:rsidRDefault="00324A9F" w:rsidP="000B40CD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Consider Lorazepam 1mg SL if midazolam not available</w:t>
            </w:r>
          </w:p>
        </w:tc>
      </w:tr>
      <w:tr w:rsidR="00324A9F" w:rsidRPr="0021669F" w14:paraId="55A6D6BF" w14:textId="77777777" w:rsidTr="00324A9F">
        <w:trPr>
          <w:trHeight w:val="135"/>
        </w:trPr>
        <w:tc>
          <w:tcPr>
            <w:tcW w:w="2694" w:type="dxa"/>
            <w:vMerge/>
            <w:vAlign w:val="center"/>
          </w:tcPr>
          <w:p w14:paraId="4C10644B" w14:textId="77777777" w:rsidR="00324A9F" w:rsidRPr="00EA0165" w:rsidRDefault="00324A9F" w:rsidP="00324A9F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BE4653E" w14:textId="77777777" w:rsidR="00324A9F" w:rsidRPr="0021669F" w:rsidRDefault="00324A9F" w:rsidP="00324A9F">
            <w:pPr>
              <w:rPr>
                <w:sz w:val="20"/>
              </w:rPr>
            </w:pPr>
            <w:r w:rsidRPr="0021669F">
              <w:rPr>
                <w:b/>
                <w:bCs/>
                <w:sz w:val="20"/>
              </w:rPr>
              <w:t xml:space="preserve">If </w:t>
            </w:r>
            <w:r w:rsidRPr="0021669F">
              <w:rPr>
                <w:b/>
                <w:bCs/>
                <w:i/>
                <w:iCs/>
                <w:sz w:val="20"/>
                <w:u w:val="single"/>
              </w:rPr>
              <w:t xml:space="preserve">not </w:t>
            </w:r>
            <w:r w:rsidRPr="0021669F">
              <w:rPr>
                <w:b/>
                <w:bCs/>
                <w:sz w:val="20"/>
              </w:rPr>
              <w:t>effective:</w:t>
            </w:r>
          </w:p>
          <w:p w14:paraId="740CC6C0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sz w:val="20"/>
                <w:highlight w:val="lightGray"/>
              </w:rPr>
              <w:t>MIDAZOLAM</w:t>
            </w:r>
          </w:p>
        </w:tc>
        <w:tc>
          <w:tcPr>
            <w:tcW w:w="4111" w:type="dxa"/>
            <w:vAlign w:val="center"/>
          </w:tcPr>
          <w:p w14:paraId="29319BAD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sz w:val="20"/>
                <w:highlight w:val="lightGray"/>
              </w:rPr>
              <w:t xml:space="preserve">10mg </w:t>
            </w:r>
            <w:r w:rsidRPr="00C03EA4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C03EA4">
              <w:rPr>
                <w:sz w:val="20"/>
                <w:highlight w:val="lightGray"/>
              </w:rPr>
              <w:t xml:space="preserve"> from 1 to 4 hourly PRN</w:t>
            </w:r>
            <w:r w:rsidRPr="0021669F">
              <w:rPr>
                <w:sz w:val="20"/>
              </w:rPr>
              <w:t> </w:t>
            </w:r>
          </w:p>
        </w:tc>
        <w:tc>
          <w:tcPr>
            <w:tcW w:w="6379" w:type="dxa"/>
            <w:vMerge/>
          </w:tcPr>
          <w:p w14:paraId="6F2E1349" w14:textId="77777777" w:rsidR="00324A9F" w:rsidRPr="0021669F" w:rsidRDefault="00324A9F" w:rsidP="00324A9F">
            <w:pPr>
              <w:rPr>
                <w:sz w:val="18"/>
              </w:rPr>
            </w:pPr>
          </w:p>
        </w:tc>
      </w:tr>
      <w:tr w:rsidR="00324A9F" w:rsidRPr="0021669F" w14:paraId="7E3733C9" w14:textId="77777777" w:rsidTr="00324A9F">
        <w:trPr>
          <w:trHeight w:val="135"/>
        </w:trPr>
        <w:tc>
          <w:tcPr>
            <w:tcW w:w="2694" w:type="dxa"/>
            <w:vMerge w:val="restart"/>
            <w:vAlign w:val="center"/>
          </w:tcPr>
          <w:p w14:paraId="7C8947B5" w14:textId="77777777" w:rsidR="00324A9F" w:rsidRPr="0014660A" w:rsidRDefault="00324A9F" w:rsidP="00324A9F">
            <w:pPr>
              <w:rPr>
                <w:b/>
                <w:sz w:val="28"/>
              </w:rPr>
            </w:pPr>
            <w:r w:rsidRPr="0014660A">
              <w:rPr>
                <w:b/>
                <w:sz w:val="28"/>
              </w:rPr>
              <w:t>BREATHLESSNESS</w:t>
            </w:r>
          </w:p>
          <w:p w14:paraId="3990E14B" w14:textId="77777777" w:rsidR="00324A9F" w:rsidRDefault="00324A9F" w:rsidP="00324A9F">
            <w:pPr>
              <w:rPr>
                <w:b/>
                <w:sz w:val="28"/>
              </w:rPr>
            </w:pPr>
            <w:r w:rsidRPr="0014660A">
              <w:rPr>
                <w:b/>
                <w:sz w:val="28"/>
              </w:rPr>
              <w:t>COUGH</w:t>
            </w:r>
          </w:p>
          <w:p w14:paraId="061FBB83" w14:textId="77777777" w:rsidR="00324A9F" w:rsidRDefault="00324A9F" w:rsidP="00324A9F">
            <w:pPr>
              <w:rPr>
                <w:b/>
                <w:sz w:val="28"/>
              </w:rPr>
            </w:pPr>
          </w:p>
          <w:p w14:paraId="0A694C16" w14:textId="77777777" w:rsidR="00324A9F" w:rsidRPr="00EA0165" w:rsidRDefault="00324A9F" w:rsidP="00324A9F">
            <w:pPr>
              <w:rPr>
                <w:b/>
              </w:rPr>
            </w:pPr>
            <w:r w:rsidRPr="006178BB">
              <w:rPr>
                <w:b/>
                <w:color w:val="FFFFFF" w:themeColor="background1"/>
                <w:highlight w:val="black"/>
                <w:u w:val="single"/>
              </w:rPr>
              <w:t xml:space="preserve">Not </w:t>
            </w:r>
            <w:r w:rsidRPr="006178BB">
              <w:rPr>
                <w:b/>
                <w:color w:val="FFFFFF" w:themeColor="background1"/>
                <w:highlight w:val="black"/>
              </w:rPr>
              <w:t>taking a regular opioid</w:t>
            </w:r>
          </w:p>
        </w:tc>
        <w:tc>
          <w:tcPr>
            <w:tcW w:w="6662" w:type="dxa"/>
            <w:gridSpan w:val="2"/>
          </w:tcPr>
          <w:p w14:paraId="0498A404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b/>
                <w:bCs/>
                <w:sz w:val="20"/>
                <w:highlight w:val="lightGray"/>
              </w:rPr>
              <w:t>USE MORPHINE OR OXYCODONE AS FOR PAIN</w:t>
            </w:r>
            <w:r w:rsidRPr="0021669F">
              <w:rPr>
                <w:sz w:val="20"/>
              </w:rPr>
              <w:t xml:space="preserve">  </w:t>
            </w:r>
            <w:r w:rsidRPr="0021669F">
              <w:rPr>
                <w:b/>
                <w:bCs/>
                <w:i/>
                <w:iCs/>
                <w:sz w:val="20"/>
              </w:rPr>
              <w:t xml:space="preserve">If </w:t>
            </w:r>
            <w:r w:rsidRPr="0021669F">
              <w:rPr>
                <w:b/>
                <w:bCs/>
                <w:i/>
                <w:iCs/>
                <w:sz w:val="20"/>
                <w:u w:val="single"/>
              </w:rPr>
              <w:t>not</w:t>
            </w:r>
            <w:r w:rsidRPr="0021669F">
              <w:rPr>
                <w:b/>
                <w:bCs/>
                <w:i/>
                <w:iCs/>
                <w:sz w:val="20"/>
              </w:rPr>
              <w:t xml:space="preserve"> effective, add</w:t>
            </w:r>
            <w:r w:rsidRPr="0021669F">
              <w:rPr>
                <w:sz w:val="20"/>
              </w:rPr>
              <w:t xml:space="preserve">: </w:t>
            </w:r>
          </w:p>
        </w:tc>
        <w:tc>
          <w:tcPr>
            <w:tcW w:w="6379" w:type="dxa"/>
            <w:vMerge w:val="restart"/>
          </w:tcPr>
          <w:p w14:paraId="6ED8CD85" w14:textId="77777777" w:rsidR="00324A9F" w:rsidRDefault="00324A9F" w:rsidP="00324A9F">
            <w:pPr>
              <w:ind w:left="284"/>
              <w:rPr>
                <w:b/>
                <w:bCs/>
                <w:color w:val="FFFFFF" w:themeColor="background1"/>
                <w:sz w:val="18"/>
                <w:highlight w:val="black"/>
              </w:rPr>
            </w:pPr>
          </w:p>
          <w:p w14:paraId="0E515DA2" w14:textId="77777777" w:rsidR="00324A9F" w:rsidRPr="0021669F" w:rsidRDefault="00324A9F" w:rsidP="00324A9F">
            <w:pPr>
              <w:ind w:left="284"/>
              <w:rPr>
                <w:color w:val="FFFFFF" w:themeColor="background1"/>
                <w:sz w:val="18"/>
              </w:rPr>
            </w:pPr>
            <w:r w:rsidRPr="0021669F">
              <w:rPr>
                <w:b/>
                <w:bCs/>
                <w:color w:val="FFFFFF" w:themeColor="background1"/>
                <w:sz w:val="18"/>
                <w:highlight w:val="black"/>
              </w:rPr>
              <w:t>Use of a FAN not recommended</w:t>
            </w:r>
            <w:r w:rsidRPr="0021669F">
              <w:rPr>
                <w:b/>
                <w:bCs/>
                <w:color w:val="FFFFFF" w:themeColor="background1"/>
                <w:sz w:val="18"/>
              </w:rPr>
              <w:t xml:space="preserve"> </w:t>
            </w:r>
          </w:p>
          <w:p w14:paraId="6281BC22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>Supportive measures</w:t>
            </w:r>
            <w:r w:rsidRPr="0021669F">
              <w:rPr>
                <w:sz w:val="18"/>
              </w:rPr>
              <w:t xml:space="preserve">: </w:t>
            </w:r>
            <w:r w:rsidRPr="0021669F">
              <w:rPr>
                <w:sz w:val="18"/>
              </w:rPr>
              <w:tab/>
            </w:r>
          </w:p>
          <w:p w14:paraId="261B4B9B" w14:textId="77777777" w:rsidR="00324A9F" w:rsidRPr="0021669F" w:rsidRDefault="00905E73" w:rsidP="00324A9F">
            <w:pPr>
              <w:pStyle w:val="ListParagraph"/>
              <w:numPr>
                <w:ilvl w:val="0"/>
                <w:numId w:val="5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A</w:t>
            </w:r>
            <w:r w:rsidR="00324A9F" w:rsidRPr="0021669F">
              <w:rPr>
                <w:sz w:val="18"/>
              </w:rPr>
              <w:t>ssurance and explanation. Adequate positioning of the patient to aid breathing, oxygen if evidence of hypoxia</w:t>
            </w:r>
          </w:p>
          <w:p w14:paraId="00303854" w14:textId="77777777" w:rsidR="00324A9F" w:rsidRPr="0021669F" w:rsidRDefault="00324A9F" w:rsidP="00324A9F">
            <w:pPr>
              <w:ind w:left="284"/>
              <w:rPr>
                <w:sz w:val="18"/>
              </w:rPr>
            </w:pPr>
            <w:r w:rsidRPr="0021669F">
              <w:rPr>
                <w:b/>
                <w:bCs/>
                <w:sz w:val="18"/>
              </w:rPr>
              <w:t xml:space="preserve">Contact Palliative Care for advice if </w:t>
            </w:r>
          </w:p>
          <w:p w14:paraId="54ED98C6" w14:textId="77777777" w:rsidR="00324A9F" w:rsidRPr="0021669F" w:rsidRDefault="00905E73" w:rsidP="00324A9F">
            <w:pPr>
              <w:pStyle w:val="ListParagraph"/>
              <w:numPr>
                <w:ilvl w:val="0"/>
                <w:numId w:val="5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T</w:t>
            </w:r>
            <w:r w:rsidR="00324A9F" w:rsidRPr="0021669F">
              <w:rPr>
                <w:sz w:val="18"/>
              </w:rPr>
              <w:t xml:space="preserve">he patient is taking a regular opioid </w:t>
            </w:r>
          </w:p>
          <w:p w14:paraId="3A0ACEDB" w14:textId="77777777" w:rsidR="00324A9F" w:rsidRDefault="00905E73" w:rsidP="00324A9F">
            <w:pPr>
              <w:pStyle w:val="ListParagraph"/>
              <w:numPr>
                <w:ilvl w:val="0"/>
                <w:numId w:val="5"/>
              </w:numPr>
              <w:ind w:left="924" w:hanging="357"/>
              <w:rPr>
                <w:sz w:val="18"/>
              </w:rPr>
            </w:pPr>
            <w:r>
              <w:rPr>
                <w:sz w:val="18"/>
              </w:rPr>
              <w:t>S</w:t>
            </w:r>
            <w:r w:rsidR="00324A9F" w:rsidRPr="0021669F">
              <w:rPr>
                <w:sz w:val="18"/>
              </w:rPr>
              <w:t xml:space="preserve">ymptoms not controlled after more than 2 doses </w:t>
            </w:r>
          </w:p>
          <w:p w14:paraId="4BAE7123" w14:textId="77777777" w:rsidR="00324A9F" w:rsidRPr="0021669F" w:rsidRDefault="00324A9F" w:rsidP="00324A9F">
            <w:pPr>
              <w:pStyle w:val="ListParagraph"/>
              <w:ind w:left="924"/>
              <w:rPr>
                <w:sz w:val="18"/>
              </w:rPr>
            </w:pPr>
          </w:p>
        </w:tc>
      </w:tr>
      <w:tr w:rsidR="00324A9F" w14:paraId="16B494B6" w14:textId="77777777" w:rsidTr="00324A9F">
        <w:trPr>
          <w:trHeight w:val="135"/>
        </w:trPr>
        <w:tc>
          <w:tcPr>
            <w:tcW w:w="2694" w:type="dxa"/>
            <w:vMerge/>
          </w:tcPr>
          <w:p w14:paraId="26CAB1B0" w14:textId="77777777" w:rsidR="00324A9F" w:rsidRDefault="00324A9F" w:rsidP="00324A9F"/>
        </w:tc>
        <w:tc>
          <w:tcPr>
            <w:tcW w:w="2551" w:type="dxa"/>
            <w:vAlign w:val="center"/>
          </w:tcPr>
          <w:p w14:paraId="490F7697" w14:textId="77777777" w:rsidR="00324A9F" w:rsidRPr="0021669F" w:rsidRDefault="00324A9F" w:rsidP="00324A9F">
            <w:pPr>
              <w:rPr>
                <w:sz w:val="20"/>
              </w:rPr>
            </w:pPr>
            <w:r w:rsidRPr="00C03EA4">
              <w:rPr>
                <w:sz w:val="20"/>
                <w:highlight w:val="lightGray"/>
              </w:rPr>
              <w:t>MIDAZOLAM</w:t>
            </w:r>
          </w:p>
        </w:tc>
        <w:tc>
          <w:tcPr>
            <w:tcW w:w="4111" w:type="dxa"/>
            <w:vAlign w:val="center"/>
          </w:tcPr>
          <w:p w14:paraId="71456DE6" w14:textId="77777777" w:rsidR="00324A9F" w:rsidRDefault="00324A9F" w:rsidP="00324A9F">
            <w:pPr>
              <w:tabs>
                <w:tab w:val="left" w:pos="4197"/>
              </w:tabs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 xml:space="preserve">2.5mg to 5mg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 </w:t>
            </w:r>
            <w:r w:rsidRPr="0021669F">
              <w:rPr>
                <w:sz w:val="20"/>
                <w:highlight w:val="lightGray"/>
              </w:rPr>
              <w:t>1 to 4 hourly PRN</w:t>
            </w:r>
            <w:r w:rsidR="000D1A06" w:rsidRPr="000D1A06">
              <w:rPr>
                <w:sz w:val="20"/>
                <w:highlight w:val="lightGray"/>
              </w:rPr>
              <w:t>(max as above)</w:t>
            </w:r>
          </w:p>
          <w:p w14:paraId="0F95F1BD" w14:textId="77777777" w:rsidR="00324A9F" w:rsidRPr="0021669F" w:rsidRDefault="00324A9F" w:rsidP="00324A9F">
            <w:pPr>
              <w:tabs>
                <w:tab w:val="left" w:pos="4197"/>
              </w:tabs>
              <w:rPr>
                <w:sz w:val="20"/>
              </w:rPr>
            </w:pPr>
          </w:p>
          <w:p w14:paraId="0667A9C5" w14:textId="77777777" w:rsidR="00324A9F" w:rsidRDefault="00324A9F" w:rsidP="00324A9F">
            <w:pPr>
              <w:tabs>
                <w:tab w:val="left" w:pos="4197"/>
              </w:tabs>
              <w:rPr>
                <w:b/>
                <w:sz w:val="20"/>
              </w:rPr>
            </w:pPr>
            <w:r w:rsidRPr="0021669F">
              <w:rPr>
                <w:b/>
                <w:sz w:val="20"/>
              </w:rPr>
              <w:t xml:space="preserve">If the first dose is ineffective after </w:t>
            </w:r>
            <w:r w:rsidRPr="0021669F">
              <w:rPr>
                <w:b/>
                <w:sz w:val="20"/>
                <w:u w:val="single"/>
              </w:rPr>
              <w:t>30</w:t>
            </w:r>
            <w:r w:rsidRPr="0021669F">
              <w:rPr>
                <w:b/>
                <w:sz w:val="20"/>
              </w:rPr>
              <w:t xml:space="preserve"> minutes:</w:t>
            </w:r>
          </w:p>
          <w:p w14:paraId="51E89054" w14:textId="77777777" w:rsidR="00324A9F" w:rsidRPr="0021669F" w:rsidRDefault="00324A9F" w:rsidP="00324A9F">
            <w:pPr>
              <w:tabs>
                <w:tab w:val="left" w:pos="4197"/>
              </w:tabs>
              <w:rPr>
                <w:b/>
                <w:sz w:val="20"/>
              </w:rPr>
            </w:pPr>
          </w:p>
          <w:p w14:paraId="61F5D555" w14:textId="77777777" w:rsidR="00324A9F" w:rsidRPr="0021669F" w:rsidRDefault="00324A9F" w:rsidP="00324A9F">
            <w:pPr>
              <w:rPr>
                <w:sz w:val="20"/>
              </w:rPr>
            </w:pPr>
            <w:r w:rsidRPr="0021669F">
              <w:rPr>
                <w:sz w:val="20"/>
                <w:highlight w:val="lightGray"/>
              </w:rPr>
              <w:t xml:space="preserve">5mg to 10mg </w:t>
            </w:r>
            <w:r w:rsidRPr="0021669F">
              <w:rPr>
                <w:b/>
                <w:sz w:val="20"/>
                <w:highlight w:val="lightGray"/>
                <w:u w:val="single"/>
              </w:rPr>
              <w:t>SC</w:t>
            </w:r>
            <w:r w:rsidRPr="0021669F">
              <w:rPr>
                <w:sz w:val="20"/>
              </w:rPr>
              <w:t xml:space="preserve">  </w:t>
            </w:r>
            <w:r w:rsidRPr="0021669F">
              <w:rPr>
                <w:sz w:val="20"/>
                <w:highlight w:val="lightGray"/>
              </w:rPr>
              <w:t>1 to 4 hourly PRN</w:t>
            </w:r>
          </w:p>
        </w:tc>
        <w:tc>
          <w:tcPr>
            <w:tcW w:w="6379" w:type="dxa"/>
            <w:vMerge/>
          </w:tcPr>
          <w:p w14:paraId="2F061085" w14:textId="77777777" w:rsidR="00324A9F" w:rsidRDefault="00324A9F" w:rsidP="00324A9F"/>
        </w:tc>
      </w:tr>
    </w:tbl>
    <w:p w14:paraId="28B9CE27" w14:textId="77777777" w:rsidR="005F5817" w:rsidRDefault="005F5817" w:rsidP="005F5817">
      <w:pPr>
        <w:pStyle w:val="NormalWeb"/>
        <w:spacing w:before="0" w:beforeAutospacing="0" w:after="0" w:afterAutospacing="0"/>
        <w:jc w:val="center"/>
      </w:pPr>
    </w:p>
    <w:p w14:paraId="7B26854E" w14:textId="77777777" w:rsidR="005F5817" w:rsidRDefault="005F5817" w:rsidP="005F5817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327A36" wp14:editId="268742B5">
                <wp:simplePos x="0" y="0"/>
                <wp:positionH relativeFrom="column">
                  <wp:posOffset>-95250</wp:posOffset>
                </wp:positionH>
                <wp:positionV relativeFrom="paragraph">
                  <wp:posOffset>-323850</wp:posOffset>
                </wp:positionV>
                <wp:extent cx="9991725" cy="504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4BCD" w14:textId="77777777" w:rsidR="005F5817" w:rsidRDefault="005F5817" w:rsidP="005F58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QUICK SUMMARY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COVID-19: Symptom Control Guidelines and the Dying Patient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+</w:t>
                            </w:r>
                          </w:p>
                          <w:p w14:paraId="6551D907" w14:textId="77777777" w:rsidR="005F5817" w:rsidRDefault="005F5817" w:rsidP="005F5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7A36" id="_x0000_s1027" type="#_x0000_t202" style="position:absolute;left:0;text-align:left;margin-left:-7.5pt;margin-top:-25.5pt;width:786.75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" filled="f" stroked="f">
                <v:textbox>
                  <w:txbxContent>
                    <w:p w14:paraId="59FD4BCD" w14:textId="77777777" w:rsidR="005F5817" w:rsidRDefault="005F5817" w:rsidP="005F58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QUICK SUMMARY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COVID-19: Symptom Control Guidelines and the Dying Patient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+</w:t>
                      </w:r>
                    </w:p>
                    <w:p w14:paraId="6551D907" w14:textId="77777777" w:rsidR="005F5817" w:rsidRDefault="005F5817" w:rsidP="005F581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5" w:type="dxa"/>
        <w:tblInd w:w="-34" w:type="dxa"/>
        <w:tblLook w:val="04A0" w:firstRow="1" w:lastRow="0" w:firstColumn="1" w:lastColumn="0" w:noHBand="0" w:noVBand="1"/>
      </w:tblPr>
      <w:tblGrid>
        <w:gridCol w:w="2694"/>
        <w:gridCol w:w="2551"/>
        <w:gridCol w:w="4111"/>
        <w:gridCol w:w="6379"/>
      </w:tblGrid>
      <w:tr w:rsidR="005F5817" w14:paraId="7B15EC87" w14:textId="77777777" w:rsidTr="000F76F9">
        <w:tc>
          <w:tcPr>
            <w:tcW w:w="15735" w:type="dxa"/>
            <w:gridSpan w:val="4"/>
            <w:shd w:val="clear" w:color="auto" w:fill="000000" w:themeFill="text1"/>
          </w:tcPr>
          <w:p w14:paraId="0FD50B0F" w14:textId="77777777" w:rsidR="005F5817" w:rsidRPr="00EA0165" w:rsidRDefault="005F5817" w:rsidP="000F76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A0165">
              <w:rPr>
                <w:b/>
                <w:bCs/>
                <w:color w:val="FFFFFF" w:themeColor="background1"/>
                <w:sz w:val="18"/>
                <w:szCs w:val="18"/>
              </w:rPr>
              <w:t>Patients may become rapidly symptomatic.  Ensure these guidelines are initiated as soon as symptoms develop and please call Palliative Care if the patient does not respond to treatment described below</w:t>
            </w:r>
          </w:p>
        </w:tc>
      </w:tr>
      <w:tr w:rsidR="005F5817" w14:paraId="3442C8A2" w14:textId="77777777" w:rsidTr="000F76F9">
        <w:tc>
          <w:tcPr>
            <w:tcW w:w="2694" w:type="dxa"/>
          </w:tcPr>
          <w:p w14:paraId="131FEC16" w14:textId="77777777" w:rsidR="005F5817" w:rsidRPr="00C35C5C" w:rsidRDefault="005F5817" w:rsidP="000F76F9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Indication</w:t>
            </w:r>
          </w:p>
        </w:tc>
        <w:tc>
          <w:tcPr>
            <w:tcW w:w="2551" w:type="dxa"/>
          </w:tcPr>
          <w:p w14:paraId="4AB0B0FA" w14:textId="77777777" w:rsidR="005F5817" w:rsidRPr="00C35C5C" w:rsidRDefault="005F5817" w:rsidP="000F76F9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Medication</w:t>
            </w:r>
          </w:p>
        </w:tc>
        <w:tc>
          <w:tcPr>
            <w:tcW w:w="4111" w:type="dxa"/>
          </w:tcPr>
          <w:p w14:paraId="77824E5E" w14:textId="77777777" w:rsidR="005F5817" w:rsidRPr="00C35C5C" w:rsidRDefault="005F5817" w:rsidP="000F76F9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Dose</w:t>
            </w:r>
          </w:p>
        </w:tc>
        <w:tc>
          <w:tcPr>
            <w:tcW w:w="6379" w:type="dxa"/>
          </w:tcPr>
          <w:p w14:paraId="5D056D66" w14:textId="77777777" w:rsidR="005F5817" w:rsidRPr="00C35C5C" w:rsidRDefault="005F5817" w:rsidP="000F76F9">
            <w:pPr>
              <w:jc w:val="center"/>
              <w:rPr>
                <w:b/>
                <w:sz w:val="28"/>
              </w:rPr>
            </w:pPr>
            <w:r w:rsidRPr="00C35C5C">
              <w:rPr>
                <w:b/>
                <w:sz w:val="28"/>
              </w:rPr>
              <w:t>Guidance notes</w:t>
            </w:r>
          </w:p>
        </w:tc>
      </w:tr>
      <w:tr w:rsidR="005F5817" w:rsidRPr="0021669F" w14:paraId="7564E75E" w14:textId="77777777" w:rsidTr="00777D26">
        <w:trPr>
          <w:trHeight w:val="973"/>
        </w:trPr>
        <w:tc>
          <w:tcPr>
            <w:tcW w:w="2694" w:type="dxa"/>
            <w:vAlign w:val="center"/>
          </w:tcPr>
          <w:p w14:paraId="0117BBE2" w14:textId="77777777" w:rsidR="005F5817" w:rsidRPr="005F5817" w:rsidRDefault="005F5817" w:rsidP="000F7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PYREXIA</w:t>
            </w:r>
          </w:p>
        </w:tc>
        <w:tc>
          <w:tcPr>
            <w:tcW w:w="2551" w:type="dxa"/>
            <w:vAlign w:val="center"/>
          </w:tcPr>
          <w:p w14:paraId="068F7617" w14:textId="77777777" w:rsidR="00777D26" w:rsidRPr="00777D26" w:rsidRDefault="00777D26" w:rsidP="00777D26">
            <w:pPr>
              <w:tabs>
                <w:tab w:val="left" w:pos="4197"/>
              </w:tabs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PARACETAMOL</w:t>
            </w:r>
          </w:p>
          <w:p w14:paraId="48B2118B" w14:textId="77777777" w:rsidR="005F5817" w:rsidRPr="0021669F" w:rsidRDefault="00777D26" w:rsidP="00777D26">
            <w:pPr>
              <w:tabs>
                <w:tab w:val="left" w:pos="4197"/>
              </w:tabs>
              <w:rPr>
                <w:b/>
                <w:sz w:val="20"/>
              </w:rPr>
            </w:pPr>
            <w:r w:rsidRPr="00777D26">
              <w:rPr>
                <w:b/>
                <w:bCs/>
                <w:sz w:val="20"/>
                <w:highlight w:val="lightGray"/>
                <w:u w:val="single"/>
              </w:rPr>
              <w:t>If IV route required and patient is &lt;50kg:</w:t>
            </w:r>
          </w:p>
        </w:tc>
        <w:tc>
          <w:tcPr>
            <w:tcW w:w="4111" w:type="dxa"/>
            <w:vAlign w:val="center"/>
          </w:tcPr>
          <w:p w14:paraId="7257E7E1" w14:textId="77777777" w:rsidR="00777D26" w:rsidRDefault="00777D26" w:rsidP="00777D26">
            <w:pPr>
              <w:tabs>
                <w:tab w:val="left" w:pos="4197"/>
              </w:tabs>
              <w:rPr>
                <w:sz w:val="20"/>
                <w:highlight w:val="lightGray"/>
              </w:rPr>
            </w:pPr>
          </w:p>
          <w:p w14:paraId="31679049" w14:textId="77777777" w:rsidR="00777D26" w:rsidRDefault="00777D26" w:rsidP="00777D26">
            <w:pPr>
              <w:tabs>
                <w:tab w:val="left" w:pos="4197"/>
              </w:tabs>
              <w:rPr>
                <w:b/>
                <w:bCs/>
                <w:sz w:val="20"/>
                <w:highlight w:val="lightGray"/>
                <w:u w:val="single"/>
              </w:rPr>
            </w:pPr>
            <w:r w:rsidRPr="00777D26">
              <w:rPr>
                <w:sz w:val="20"/>
                <w:highlight w:val="lightGray"/>
              </w:rPr>
              <w:t xml:space="preserve">1g QDS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PO</w:t>
            </w:r>
            <w:r w:rsidRPr="00777D26">
              <w:rPr>
                <w:sz w:val="20"/>
                <w:highlight w:val="lightGray"/>
              </w:rPr>
              <w:t xml:space="preserve"> or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PR</w:t>
            </w:r>
            <w:r w:rsidRPr="00777D26">
              <w:rPr>
                <w:sz w:val="20"/>
                <w:highlight w:val="lightGray"/>
              </w:rPr>
              <w:t xml:space="preserve"> or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IV</w:t>
            </w:r>
          </w:p>
          <w:p w14:paraId="6D170992" w14:textId="77777777" w:rsidR="00777D26" w:rsidRPr="00777D26" w:rsidRDefault="00777D26" w:rsidP="00777D26">
            <w:pPr>
              <w:tabs>
                <w:tab w:val="left" w:pos="4197"/>
              </w:tabs>
              <w:rPr>
                <w:sz w:val="20"/>
                <w:highlight w:val="lightGray"/>
              </w:rPr>
            </w:pPr>
          </w:p>
          <w:p w14:paraId="27D72A11" w14:textId="77777777" w:rsidR="00777D26" w:rsidRPr="00777D26" w:rsidRDefault="00777D26" w:rsidP="00777D26">
            <w:pPr>
              <w:tabs>
                <w:tab w:val="left" w:pos="4197"/>
              </w:tabs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500mg</w:t>
            </w:r>
            <w:r w:rsidRPr="00777D26">
              <w:rPr>
                <w:sz w:val="20"/>
                <w:highlight w:val="lightGray"/>
                <w:u w:val="single"/>
              </w:rPr>
              <w:t xml:space="preserve"> </w:t>
            </w:r>
            <w:r w:rsidRPr="00777D26">
              <w:rPr>
                <w:sz w:val="20"/>
                <w:highlight w:val="lightGray"/>
              </w:rPr>
              <w:t xml:space="preserve">QDS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IV</w:t>
            </w:r>
          </w:p>
          <w:p w14:paraId="047583C1" w14:textId="77777777" w:rsidR="00777D26" w:rsidRDefault="00777D26" w:rsidP="00777D26">
            <w:pPr>
              <w:tabs>
                <w:tab w:val="left" w:pos="4197"/>
              </w:tabs>
              <w:rPr>
                <w:b/>
                <w:bCs/>
                <w:sz w:val="20"/>
                <w:highlight w:val="lightGray"/>
                <w:u w:val="single"/>
              </w:rPr>
            </w:pPr>
            <w:r w:rsidRPr="00777D26">
              <w:rPr>
                <w:b/>
                <w:bCs/>
                <w:sz w:val="20"/>
                <w:highlight w:val="lightGray"/>
                <w:u w:val="single"/>
              </w:rPr>
              <w:t>15mg/kg QDS; maximum of 60mg/kg/day may be used for optima</w:t>
            </w:r>
            <w:r>
              <w:rPr>
                <w:b/>
                <w:bCs/>
                <w:sz w:val="20"/>
                <w:highlight w:val="lightGray"/>
                <w:u w:val="single"/>
              </w:rPr>
              <w:t>l effect if clinically suitable</w:t>
            </w:r>
          </w:p>
          <w:p w14:paraId="2B4C31B8" w14:textId="77777777" w:rsidR="00777D26" w:rsidRPr="00777D26" w:rsidRDefault="00777D26" w:rsidP="00777D26">
            <w:pPr>
              <w:tabs>
                <w:tab w:val="left" w:pos="4197"/>
              </w:tabs>
              <w:rPr>
                <w:b/>
                <w:bCs/>
                <w:sz w:val="20"/>
                <w:highlight w:val="lightGray"/>
                <w:u w:val="single"/>
              </w:rPr>
            </w:pPr>
          </w:p>
        </w:tc>
        <w:tc>
          <w:tcPr>
            <w:tcW w:w="6379" w:type="dxa"/>
            <w:vAlign w:val="center"/>
          </w:tcPr>
          <w:p w14:paraId="251C38EF" w14:textId="77777777" w:rsidR="00777D26" w:rsidRP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 xml:space="preserve">Consider Diclofenac suppositories 100mg  PR </w:t>
            </w:r>
          </w:p>
          <w:p w14:paraId="46C1018A" w14:textId="77777777" w:rsidR="005F5817" w:rsidRPr="00777D26" w:rsidRDefault="00905E73" w:rsidP="00777D26">
            <w:pPr>
              <w:pStyle w:val="ListParagraph"/>
              <w:numPr>
                <w:ilvl w:val="0"/>
                <w:numId w:val="9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R</w:t>
            </w:r>
            <w:r w:rsidR="00C03EA4" w:rsidRPr="00777D26">
              <w:rPr>
                <w:bCs/>
                <w:sz w:val="18"/>
              </w:rPr>
              <w:t>educe dose if significant liver dysfunction</w:t>
            </w:r>
          </w:p>
        </w:tc>
      </w:tr>
      <w:tr w:rsidR="005F5817" w:rsidRPr="0021669F" w14:paraId="467447AA" w14:textId="77777777" w:rsidTr="000F76F9">
        <w:tc>
          <w:tcPr>
            <w:tcW w:w="2694" w:type="dxa"/>
            <w:vAlign w:val="center"/>
          </w:tcPr>
          <w:p w14:paraId="3B0CF1FE" w14:textId="77777777" w:rsidR="005F5817" w:rsidRDefault="005F5817" w:rsidP="000F7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NAUSEA/</w:t>
            </w:r>
          </w:p>
          <w:p w14:paraId="7AAC6607" w14:textId="77777777" w:rsidR="005F5817" w:rsidRPr="00EA0165" w:rsidRDefault="005F5817" w:rsidP="000F76F9">
            <w:pPr>
              <w:rPr>
                <w:b/>
              </w:rPr>
            </w:pPr>
            <w:r>
              <w:rPr>
                <w:b/>
                <w:sz w:val="28"/>
              </w:rPr>
              <w:t>VOMITING</w:t>
            </w:r>
          </w:p>
        </w:tc>
        <w:tc>
          <w:tcPr>
            <w:tcW w:w="2551" w:type="dxa"/>
            <w:vAlign w:val="center"/>
          </w:tcPr>
          <w:p w14:paraId="42D302B2" w14:textId="77777777" w:rsid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 xml:space="preserve">CYCLIZINE </w:t>
            </w:r>
          </w:p>
          <w:p w14:paraId="341B2CB9" w14:textId="77777777" w:rsidR="000D1A06" w:rsidRPr="00777D26" w:rsidRDefault="000D1A06" w:rsidP="00777D26">
            <w:pPr>
              <w:rPr>
                <w:sz w:val="20"/>
                <w:highlight w:val="lightGray"/>
              </w:rPr>
            </w:pPr>
          </w:p>
          <w:p w14:paraId="118F88AE" w14:textId="77777777" w:rsid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 xml:space="preserve">OR </w:t>
            </w:r>
          </w:p>
          <w:p w14:paraId="4A7B3C06" w14:textId="77777777" w:rsidR="000D1A06" w:rsidRPr="00777D26" w:rsidRDefault="000D1A06" w:rsidP="00777D26">
            <w:pPr>
              <w:rPr>
                <w:sz w:val="20"/>
                <w:highlight w:val="lightGray"/>
              </w:rPr>
            </w:pPr>
          </w:p>
          <w:p w14:paraId="74BA9096" w14:textId="77777777" w:rsidR="005F5817" w:rsidRPr="00777D26" w:rsidRDefault="00777D26" w:rsidP="000F76F9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LEVOMEPROMAZINE</w:t>
            </w:r>
          </w:p>
        </w:tc>
        <w:tc>
          <w:tcPr>
            <w:tcW w:w="4111" w:type="dxa"/>
            <w:vAlign w:val="center"/>
          </w:tcPr>
          <w:p w14:paraId="3449C59A" w14:textId="77777777" w:rsidR="00905E73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50mg</w:t>
            </w:r>
            <w:r w:rsidR="007101ED">
              <w:rPr>
                <w:sz w:val="20"/>
                <w:highlight w:val="lightGray"/>
              </w:rPr>
              <w:t xml:space="preserve"> </w:t>
            </w:r>
            <w:r w:rsidRPr="00777D26">
              <w:rPr>
                <w:sz w:val="20"/>
                <w:highlight w:val="lightGray"/>
              </w:rPr>
              <w:t xml:space="preserve">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="007101E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  <w:r w:rsidRPr="00777D26">
              <w:rPr>
                <w:sz w:val="20"/>
                <w:highlight w:val="lightGray"/>
              </w:rPr>
              <w:t xml:space="preserve"> 8 hourly PRN</w:t>
            </w:r>
            <w:r w:rsidR="00D97F60">
              <w:rPr>
                <w:sz w:val="20"/>
                <w:highlight w:val="lightGray"/>
              </w:rPr>
              <w:t xml:space="preserve"> (max TDS)</w:t>
            </w:r>
            <w:r w:rsidRPr="00777D26">
              <w:rPr>
                <w:sz w:val="20"/>
                <w:highlight w:val="lightGray"/>
              </w:rPr>
              <w:t xml:space="preserve"> </w:t>
            </w:r>
          </w:p>
          <w:p w14:paraId="0D2E6935" w14:textId="77777777" w:rsid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(avoid in cardiac failure)</w:t>
            </w:r>
          </w:p>
          <w:p w14:paraId="4886DBF0" w14:textId="77777777" w:rsidR="000D1A06" w:rsidRDefault="000D1A06" w:rsidP="00777D26">
            <w:pPr>
              <w:rPr>
                <w:sz w:val="20"/>
                <w:highlight w:val="lightGray"/>
              </w:rPr>
            </w:pPr>
          </w:p>
          <w:p w14:paraId="78B05D2D" w14:textId="77777777" w:rsidR="00905E73" w:rsidRPr="00777D26" w:rsidRDefault="00905E73" w:rsidP="00777D26">
            <w:pPr>
              <w:rPr>
                <w:sz w:val="20"/>
                <w:highlight w:val="lightGray"/>
              </w:rPr>
            </w:pPr>
          </w:p>
          <w:p w14:paraId="20F38322" w14:textId="77777777" w:rsidR="005F5817" w:rsidRPr="00777D26" w:rsidRDefault="007101ED" w:rsidP="000F76F9">
            <w:p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 xml:space="preserve">6.25mg  </w:t>
            </w:r>
            <w:r w:rsidR="00777D26"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="00777D26" w:rsidRPr="00777D26">
              <w:rPr>
                <w:sz w:val="20"/>
                <w:highlight w:val="lightGray"/>
              </w:rPr>
              <w:t xml:space="preserve">  8-12  hourly PRN</w:t>
            </w:r>
            <w:r w:rsidR="00D97F60">
              <w:rPr>
                <w:sz w:val="20"/>
                <w:highlight w:val="lightGray"/>
              </w:rPr>
              <w:t>( max TDS)</w:t>
            </w:r>
          </w:p>
        </w:tc>
        <w:tc>
          <w:tcPr>
            <w:tcW w:w="6379" w:type="dxa"/>
            <w:vAlign w:val="center"/>
          </w:tcPr>
          <w:p w14:paraId="38FA6587" w14:textId="77777777" w:rsidR="00777D26" w:rsidRDefault="00777D26" w:rsidP="00777D26">
            <w:pPr>
              <w:ind w:left="284"/>
              <w:rPr>
                <w:b/>
                <w:bCs/>
                <w:sz w:val="18"/>
              </w:rPr>
            </w:pPr>
          </w:p>
          <w:p w14:paraId="7915AC07" w14:textId="77777777" w:rsidR="00777D26" w:rsidRP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 xml:space="preserve">Supportive measures: </w:t>
            </w:r>
            <w:r w:rsidRPr="00777D26">
              <w:rPr>
                <w:b/>
                <w:bCs/>
                <w:sz w:val="18"/>
              </w:rPr>
              <w:tab/>
            </w:r>
          </w:p>
          <w:p w14:paraId="4F758D64" w14:textId="77777777" w:rsidR="008418E6" w:rsidRPr="00777D26" w:rsidRDefault="00905E73" w:rsidP="00777D26">
            <w:pPr>
              <w:pStyle w:val="ListParagraph"/>
              <w:numPr>
                <w:ilvl w:val="0"/>
                <w:numId w:val="9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R</w:t>
            </w:r>
            <w:r w:rsidR="00C03EA4" w:rsidRPr="00777D26">
              <w:rPr>
                <w:bCs/>
                <w:sz w:val="18"/>
              </w:rPr>
              <w:t xml:space="preserve">eview potential causes e.g. cough, pain, urinary retention, constipation. </w:t>
            </w:r>
          </w:p>
          <w:p w14:paraId="6BBE111D" w14:textId="77777777" w:rsidR="00777D26" w:rsidRP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 xml:space="preserve">Contact Palliative Care for advice if </w:t>
            </w:r>
          </w:p>
          <w:p w14:paraId="75A372ED" w14:textId="77777777" w:rsidR="008418E6" w:rsidRPr="00777D26" w:rsidRDefault="00905E73" w:rsidP="00777D26">
            <w:pPr>
              <w:pStyle w:val="ListParagraph"/>
              <w:numPr>
                <w:ilvl w:val="0"/>
                <w:numId w:val="9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S</w:t>
            </w:r>
            <w:r w:rsidR="00C03EA4" w:rsidRPr="00777D26">
              <w:rPr>
                <w:bCs/>
                <w:sz w:val="18"/>
              </w:rPr>
              <w:t xml:space="preserve">ymptoms not controlled after more than 2 doses </w:t>
            </w:r>
          </w:p>
          <w:p w14:paraId="1A7CF5CC" w14:textId="77777777" w:rsidR="008418E6" w:rsidRDefault="00905E73" w:rsidP="00777D26">
            <w:pPr>
              <w:pStyle w:val="ListParagraph"/>
              <w:numPr>
                <w:ilvl w:val="0"/>
                <w:numId w:val="9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T</w:t>
            </w:r>
            <w:r w:rsidR="00C03EA4" w:rsidRPr="00777D26">
              <w:rPr>
                <w:bCs/>
                <w:sz w:val="18"/>
              </w:rPr>
              <w:t>he patient is already prescribed an antiemetic, or levomepromazine for agitation/delirium/restlessness</w:t>
            </w:r>
          </w:p>
          <w:p w14:paraId="46EE44C9" w14:textId="77777777" w:rsidR="00D97F60" w:rsidRPr="00D97F60" w:rsidRDefault="00D97F60" w:rsidP="00D97F60">
            <w:pPr>
              <w:ind w:left="567"/>
              <w:rPr>
                <w:bCs/>
                <w:sz w:val="18"/>
              </w:rPr>
            </w:pPr>
          </w:p>
          <w:p w14:paraId="3DD1BD45" w14:textId="77777777" w:rsidR="008418E6" w:rsidRPr="00D97F60" w:rsidRDefault="00D97F60" w:rsidP="00D97F60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 xml:space="preserve">       </w:t>
            </w:r>
            <w:r w:rsidR="00905E73" w:rsidRPr="00D97F60">
              <w:rPr>
                <w:b/>
                <w:bCs/>
                <w:sz w:val="18"/>
              </w:rPr>
              <w:t>H</w:t>
            </w:r>
            <w:r w:rsidR="00C03EA4" w:rsidRPr="00D97F60">
              <w:rPr>
                <w:b/>
                <w:bCs/>
                <w:sz w:val="18"/>
              </w:rPr>
              <w:t>aloperidol may be useful as 3</w:t>
            </w:r>
            <w:r w:rsidR="00C03EA4" w:rsidRPr="00D97F60">
              <w:rPr>
                <w:b/>
                <w:bCs/>
                <w:sz w:val="18"/>
                <w:vertAlign w:val="superscript"/>
              </w:rPr>
              <w:t>rd</w:t>
            </w:r>
            <w:r w:rsidR="00C03EA4" w:rsidRPr="00D97F60">
              <w:rPr>
                <w:b/>
                <w:bCs/>
                <w:sz w:val="18"/>
              </w:rPr>
              <w:t xml:space="preserve"> line </w:t>
            </w:r>
          </w:p>
          <w:p w14:paraId="3256C946" w14:textId="77777777" w:rsidR="00777D26" w:rsidRPr="00777D26" w:rsidRDefault="00777D26" w:rsidP="00D97F60">
            <w:pPr>
              <w:pStyle w:val="ListParagraph"/>
              <w:ind w:left="924"/>
              <w:rPr>
                <w:b/>
                <w:bCs/>
                <w:sz w:val="18"/>
              </w:rPr>
            </w:pPr>
          </w:p>
        </w:tc>
      </w:tr>
      <w:tr w:rsidR="005F5817" w:rsidRPr="0021669F" w14:paraId="2074A380" w14:textId="77777777" w:rsidTr="000F76F9">
        <w:trPr>
          <w:trHeight w:val="135"/>
        </w:trPr>
        <w:tc>
          <w:tcPr>
            <w:tcW w:w="2694" w:type="dxa"/>
            <w:vMerge w:val="restart"/>
            <w:vAlign w:val="center"/>
          </w:tcPr>
          <w:p w14:paraId="75EE184D" w14:textId="77777777" w:rsidR="005F5817" w:rsidRPr="00EA0165" w:rsidRDefault="005F5817" w:rsidP="000F76F9">
            <w:pPr>
              <w:rPr>
                <w:b/>
              </w:rPr>
            </w:pPr>
            <w:r>
              <w:rPr>
                <w:b/>
                <w:sz w:val="28"/>
              </w:rPr>
              <w:t>SECRETIONS</w:t>
            </w:r>
          </w:p>
        </w:tc>
        <w:tc>
          <w:tcPr>
            <w:tcW w:w="2551" w:type="dxa"/>
            <w:vAlign w:val="center"/>
          </w:tcPr>
          <w:p w14:paraId="4A27301E" w14:textId="77777777" w:rsidR="00777D26" w:rsidRDefault="00777D26" w:rsidP="00777D26">
            <w:pPr>
              <w:rPr>
                <w:sz w:val="20"/>
              </w:rPr>
            </w:pPr>
          </w:p>
          <w:p w14:paraId="5C6DC956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GLYCOPYRRONIUM</w:t>
            </w:r>
          </w:p>
          <w:p w14:paraId="7AD1CB4B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OR</w:t>
            </w:r>
          </w:p>
          <w:p w14:paraId="5D710164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HYOSCINE HYDROBROMIDE</w:t>
            </w:r>
          </w:p>
          <w:p w14:paraId="534F50FD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>OR</w:t>
            </w:r>
          </w:p>
          <w:p w14:paraId="24E2D6D3" w14:textId="77777777" w:rsidR="005F5817" w:rsidRDefault="00777D26" w:rsidP="000F76F9">
            <w:pPr>
              <w:rPr>
                <w:b/>
                <w:bCs/>
                <w:sz w:val="20"/>
              </w:rPr>
            </w:pPr>
            <w:r w:rsidRPr="00777D26">
              <w:rPr>
                <w:sz w:val="20"/>
                <w:highlight w:val="lightGray"/>
              </w:rPr>
              <w:t>BUSCOPAN (HYOSCINE BUTYLBROMIDE)</w:t>
            </w:r>
            <w:r w:rsidRPr="00777D26">
              <w:rPr>
                <w:b/>
                <w:bCs/>
                <w:sz w:val="20"/>
                <w:highlight w:val="lightGray"/>
              </w:rPr>
              <w:t>**</w:t>
            </w:r>
          </w:p>
          <w:p w14:paraId="2D58191F" w14:textId="77777777" w:rsidR="00777D26" w:rsidRPr="0021669F" w:rsidRDefault="00777D26" w:rsidP="000F76F9">
            <w:pPr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27C88425" w14:textId="77777777" w:rsid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 xml:space="preserve">200 micrograms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777D26">
              <w:rPr>
                <w:sz w:val="20"/>
                <w:highlight w:val="lightGray"/>
              </w:rPr>
              <w:t xml:space="preserve"> 2-4 hourly PRN</w:t>
            </w:r>
            <w:r w:rsidR="007101ED">
              <w:rPr>
                <w:sz w:val="20"/>
                <w:highlight w:val="lightGray"/>
              </w:rPr>
              <w:t xml:space="preserve"> (max dose 2400 micrograms per 24 hours)</w:t>
            </w:r>
          </w:p>
          <w:p w14:paraId="528236AA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</w:p>
          <w:p w14:paraId="6877EC93" w14:textId="77777777" w:rsidR="00777D26" w:rsidRDefault="00777D26" w:rsidP="00777D26">
            <w:pPr>
              <w:rPr>
                <w:sz w:val="20"/>
                <w:highlight w:val="lightGray"/>
              </w:rPr>
            </w:pPr>
            <w:r w:rsidRPr="00777D26">
              <w:rPr>
                <w:sz w:val="20"/>
                <w:highlight w:val="lightGray"/>
              </w:rPr>
              <w:t xml:space="preserve">400 micrograms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777D26">
              <w:rPr>
                <w:sz w:val="20"/>
                <w:highlight w:val="lightGray"/>
              </w:rPr>
              <w:t xml:space="preserve"> 2-4 hourly PRN</w:t>
            </w:r>
            <w:r w:rsidR="007101ED">
              <w:rPr>
                <w:sz w:val="20"/>
                <w:highlight w:val="lightGray"/>
              </w:rPr>
              <w:t xml:space="preserve"> (max</w:t>
            </w:r>
            <w:r w:rsidR="000D1A06">
              <w:rPr>
                <w:sz w:val="20"/>
                <w:highlight w:val="lightGray"/>
              </w:rPr>
              <w:t xml:space="preserve"> </w:t>
            </w:r>
            <w:r w:rsidR="007101ED">
              <w:rPr>
                <w:sz w:val="20"/>
                <w:highlight w:val="lightGray"/>
              </w:rPr>
              <w:t>dose 2400 micrograms per 24 hours)</w:t>
            </w:r>
          </w:p>
          <w:p w14:paraId="5BBBB4EB" w14:textId="77777777" w:rsidR="00777D26" w:rsidRPr="00777D26" w:rsidRDefault="00777D26" w:rsidP="00777D26">
            <w:pPr>
              <w:rPr>
                <w:sz w:val="20"/>
                <w:highlight w:val="lightGray"/>
              </w:rPr>
            </w:pPr>
          </w:p>
          <w:p w14:paraId="4B187C54" w14:textId="77777777" w:rsidR="005F5817" w:rsidRPr="0021669F" w:rsidRDefault="00777D26" w:rsidP="000F76F9">
            <w:pPr>
              <w:rPr>
                <w:sz w:val="20"/>
              </w:rPr>
            </w:pPr>
            <w:r w:rsidRPr="00777D26">
              <w:rPr>
                <w:sz w:val="20"/>
                <w:highlight w:val="lightGray"/>
              </w:rPr>
              <w:t xml:space="preserve">20mg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777D26">
              <w:rPr>
                <w:sz w:val="20"/>
                <w:highlight w:val="lightGray"/>
              </w:rPr>
              <w:t xml:space="preserve"> 2-4 hourly </w:t>
            </w:r>
            <w:r w:rsidRPr="007101ED">
              <w:rPr>
                <w:sz w:val="20"/>
                <w:highlight w:val="lightGray"/>
              </w:rPr>
              <w:t>PRN</w:t>
            </w:r>
            <w:r w:rsidR="007101ED" w:rsidRPr="007101ED">
              <w:rPr>
                <w:sz w:val="20"/>
                <w:highlight w:val="lightGray"/>
              </w:rPr>
              <w:t xml:space="preserve"> (max dose 120mg per 24 hours unless SPCT advice)</w:t>
            </w:r>
          </w:p>
        </w:tc>
        <w:tc>
          <w:tcPr>
            <w:tcW w:w="6379" w:type="dxa"/>
            <w:vMerge w:val="restart"/>
          </w:tcPr>
          <w:p w14:paraId="05667E02" w14:textId="77777777" w:rsidR="00777D26" w:rsidRDefault="00777D26" w:rsidP="00777D26">
            <w:pPr>
              <w:ind w:left="284"/>
              <w:rPr>
                <w:b/>
                <w:bCs/>
                <w:sz w:val="18"/>
              </w:rPr>
            </w:pPr>
          </w:p>
          <w:p w14:paraId="47FCBDE3" w14:textId="77777777" w:rsidR="00777D26" w:rsidRP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 xml:space="preserve">SUCTION IS </w:t>
            </w:r>
            <w:r w:rsidRPr="00777D26">
              <w:rPr>
                <w:b/>
                <w:bCs/>
                <w:sz w:val="18"/>
                <w:u w:val="single"/>
              </w:rPr>
              <w:t>NOT</w:t>
            </w:r>
            <w:r w:rsidRPr="00777D26">
              <w:rPr>
                <w:b/>
                <w:bCs/>
                <w:sz w:val="18"/>
              </w:rPr>
              <w:t xml:space="preserve"> RECOMMENDED AS ENHANCED PPE WILL BE REQUIRED </w:t>
            </w:r>
          </w:p>
          <w:p w14:paraId="460D78EB" w14:textId="77777777" w:rsid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>Supportive measures</w:t>
            </w:r>
          </w:p>
          <w:p w14:paraId="0DE4A5D7" w14:textId="77777777" w:rsidR="008418E6" w:rsidRPr="00777D26" w:rsidRDefault="00905E73" w:rsidP="00777D26">
            <w:pPr>
              <w:pStyle w:val="ListParagraph"/>
              <w:numPr>
                <w:ilvl w:val="0"/>
                <w:numId w:val="14"/>
              </w:numPr>
              <w:ind w:left="924" w:hanging="357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R</w:t>
            </w:r>
            <w:r w:rsidR="00C03EA4" w:rsidRPr="00777D26">
              <w:rPr>
                <w:bCs/>
                <w:sz w:val="18"/>
              </w:rPr>
              <w:t>epositioning, active surveillance, explanation.   Treat any side effects with frequent mouth care which may include artificial saliva replacement gels /sprays.</w:t>
            </w:r>
          </w:p>
          <w:p w14:paraId="17BAF41D" w14:textId="77777777" w:rsidR="008418E6" w:rsidRPr="00777D26" w:rsidRDefault="00C03EA4" w:rsidP="00777D26">
            <w:pPr>
              <w:pStyle w:val="ListParagraph"/>
              <w:numPr>
                <w:ilvl w:val="0"/>
                <w:numId w:val="14"/>
              </w:numPr>
              <w:ind w:left="924" w:hanging="357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>**DO NOT COMBINE BUSCO</w:t>
            </w:r>
            <w:r w:rsidR="00777D26" w:rsidRPr="00777D26">
              <w:rPr>
                <w:b/>
                <w:bCs/>
                <w:sz w:val="18"/>
              </w:rPr>
              <w:t xml:space="preserve">PAN WITH CYCLIZINE IN A SYRINGE </w:t>
            </w:r>
            <w:r w:rsidRPr="00777D26">
              <w:rPr>
                <w:b/>
                <w:bCs/>
                <w:sz w:val="18"/>
              </w:rPr>
              <w:t>DRIVER**</w:t>
            </w:r>
          </w:p>
          <w:p w14:paraId="7A33A930" w14:textId="77777777" w:rsidR="00777D26" w:rsidRPr="00777D26" w:rsidRDefault="00777D26" w:rsidP="00777D26">
            <w:pPr>
              <w:ind w:left="720"/>
              <w:rPr>
                <w:b/>
                <w:bCs/>
                <w:sz w:val="18"/>
              </w:rPr>
            </w:pPr>
          </w:p>
          <w:p w14:paraId="2AEEA088" w14:textId="77777777" w:rsidR="00777D26" w:rsidRPr="00777D26" w:rsidRDefault="00777D26" w:rsidP="00777D26">
            <w:pPr>
              <w:ind w:left="284"/>
              <w:rPr>
                <w:b/>
                <w:bCs/>
                <w:sz w:val="18"/>
              </w:rPr>
            </w:pPr>
            <w:r w:rsidRPr="00777D26">
              <w:rPr>
                <w:b/>
                <w:bCs/>
                <w:sz w:val="18"/>
              </w:rPr>
              <w:t>Contact Palliative Care for advice if:</w:t>
            </w:r>
          </w:p>
          <w:p w14:paraId="1F915242" w14:textId="77777777" w:rsidR="008418E6" w:rsidRPr="00777D26" w:rsidRDefault="00905E73" w:rsidP="00777D26">
            <w:pPr>
              <w:pStyle w:val="ListParagraph"/>
              <w:numPr>
                <w:ilvl w:val="0"/>
                <w:numId w:val="15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S</w:t>
            </w:r>
            <w:r w:rsidR="00C03EA4" w:rsidRPr="00777D26">
              <w:rPr>
                <w:bCs/>
                <w:sz w:val="18"/>
              </w:rPr>
              <w:t>ignificant multi-morbidity e.g. renal or liver impairment</w:t>
            </w:r>
          </w:p>
          <w:p w14:paraId="250D6114" w14:textId="77777777" w:rsidR="005F5817" w:rsidRPr="00777D26" w:rsidRDefault="00905E73" w:rsidP="00777D26">
            <w:pPr>
              <w:pStyle w:val="ListParagraph"/>
              <w:numPr>
                <w:ilvl w:val="0"/>
                <w:numId w:val="15"/>
              </w:numPr>
              <w:ind w:left="924" w:hanging="357"/>
              <w:rPr>
                <w:bCs/>
                <w:sz w:val="18"/>
              </w:rPr>
            </w:pPr>
            <w:r>
              <w:rPr>
                <w:bCs/>
                <w:sz w:val="18"/>
              </w:rPr>
              <w:t>S</w:t>
            </w:r>
            <w:r w:rsidR="00C03EA4" w:rsidRPr="00777D26">
              <w:rPr>
                <w:bCs/>
                <w:sz w:val="18"/>
              </w:rPr>
              <w:t xml:space="preserve">ymptoms not controlled after more than 2 doses </w:t>
            </w:r>
          </w:p>
          <w:p w14:paraId="0D521176" w14:textId="77777777" w:rsidR="00777D26" w:rsidRPr="00777D26" w:rsidRDefault="00777D26" w:rsidP="00777D26">
            <w:pPr>
              <w:ind w:left="1440"/>
              <w:rPr>
                <w:b/>
                <w:bCs/>
                <w:sz w:val="18"/>
              </w:rPr>
            </w:pPr>
          </w:p>
        </w:tc>
      </w:tr>
      <w:tr w:rsidR="00777D26" w:rsidRPr="0021669F" w14:paraId="532C0BCD" w14:textId="77777777" w:rsidTr="00777D26">
        <w:trPr>
          <w:trHeight w:val="135"/>
        </w:trPr>
        <w:tc>
          <w:tcPr>
            <w:tcW w:w="2694" w:type="dxa"/>
            <w:vMerge/>
            <w:vAlign w:val="center"/>
          </w:tcPr>
          <w:p w14:paraId="35B131DA" w14:textId="77777777" w:rsidR="00777D26" w:rsidRPr="00EA0165" w:rsidRDefault="00777D26" w:rsidP="000F76F9">
            <w:pPr>
              <w:rPr>
                <w:b/>
              </w:rPr>
            </w:pPr>
          </w:p>
        </w:tc>
        <w:tc>
          <w:tcPr>
            <w:tcW w:w="6662" w:type="dxa"/>
            <w:gridSpan w:val="2"/>
            <w:shd w:val="clear" w:color="auto" w:fill="000000" w:themeFill="text1"/>
            <w:vAlign w:val="center"/>
          </w:tcPr>
          <w:p w14:paraId="69D2558E" w14:textId="77777777" w:rsidR="00777D26" w:rsidRPr="00777D26" w:rsidRDefault="00777D26" w:rsidP="000F76F9">
            <w:pPr>
              <w:rPr>
                <w:color w:val="FFFFFF" w:themeColor="background1"/>
                <w:sz w:val="20"/>
              </w:rPr>
            </w:pPr>
            <w:r w:rsidRPr="00777D26">
              <w:rPr>
                <w:b/>
                <w:bCs/>
                <w:color w:val="FFFFFF" w:themeColor="background1"/>
                <w:sz w:val="20"/>
              </w:rPr>
              <w:t>If eGFR &lt;30mL/min:</w:t>
            </w:r>
          </w:p>
        </w:tc>
        <w:tc>
          <w:tcPr>
            <w:tcW w:w="6379" w:type="dxa"/>
            <w:vMerge/>
          </w:tcPr>
          <w:p w14:paraId="45290EDD" w14:textId="77777777" w:rsidR="00777D26" w:rsidRPr="0021669F" w:rsidRDefault="00777D26" w:rsidP="000F76F9">
            <w:pPr>
              <w:rPr>
                <w:sz w:val="18"/>
              </w:rPr>
            </w:pPr>
          </w:p>
        </w:tc>
      </w:tr>
      <w:tr w:rsidR="005F5817" w:rsidRPr="0021669F" w14:paraId="2CE54E67" w14:textId="77777777" w:rsidTr="000F76F9">
        <w:trPr>
          <w:trHeight w:val="135"/>
        </w:trPr>
        <w:tc>
          <w:tcPr>
            <w:tcW w:w="2694" w:type="dxa"/>
            <w:vMerge/>
            <w:vAlign w:val="center"/>
          </w:tcPr>
          <w:p w14:paraId="5BCD974E" w14:textId="77777777" w:rsidR="005F5817" w:rsidRPr="00EA0165" w:rsidRDefault="005F5817" w:rsidP="000F76F9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9327163" w14:textId="77777777" w:rsidR="005F5817" w:rsidRPr="00777D26" w:rsidRDefault="00777D26" w:rsidP="000F76F9">
            <w:pPr>
              <w:rPr>
                <w:bCs/>
                <w:sz w:val="20"/>
              </w:rPr>
            </w:pPr>
            <w:r w:rsidRPr="00777D26">
              <w:rPr>
                <w:bCs/>
                <w:sz w:val="20"/>
                <w:highlight w:val="lightGray"/>
              </w:rPr>
              <w:t>GLYCOPYRRONIUM</w:t>
            </w:r>
          </w:p>
        </w:tc>
        <w:tc>
          <w:tcPr>
            <w:tcW w:w="4111" w:type="dxa"/>
            <w:vAlign w:val="center"/>
          </w:tcPr>
          <w:p w14:paraId="1F34CBF1" w14:textId="77777777" w:rsidR="005F5817" w:rsidRPr="0021669F" w:rsidRDefault="00777D26" w:rsidP="000F76F9">
            <w:pPr>
              <w:rPr>
                <w:sz w:val="20"/>
              </w:rPr>
            </w:pPr>
            <w:r w:rsidRPr="00777D26">
              <w:rPr>
                <w:b/>
                <w:bCs/>
                <w:color w:val="FFFFFF" w:themeColor="background1"/>
                <w:sz w:val="20"/>
                <w:highlight w:val="black"/>
              </w:rPr>
              <w:t>100</w:t>
            </w:r>
            <w:r w:rsidRPr="00777D26">
              <w:rPr>
                <w:color w:val="FFFFFF" w:themeColor="background1"/>
                <w:sz w:val="20"/>
                <w:highlight w:val="lightGray"/>
              </w:rPr>
              <w:t xml:space="preserve"> </w:t>
            </w:r>
            <w:r w:rsidRPr="00777D26">
              <w:rPr>
                <w:sz w:val="20"/>
                <w:highlight w:val="lightGray"/>
              </w:rPr>
              <w:t xml:space="preserve">micrograms </w:t>
            </w:r>
            <w:r w:rsidRPr="00777D26">
              <w:rPr>
                <w:b/>
                <w:bCs/>
                <w:sz w:val="20"/>
                <w:highlight w:val="lightGray"/>
                <w:u w:val="single"/>
              </w:rPr>
              <w:t>SC</w:t>
            </w:r>
            <w:r w:rsidRPr="00777D26">
              <w:rPr>
                <w:b/>
                <w:bCs/>
                <w:sz w:val="20"/>
                <w:highlight w:val="lightGray"/>
              </w:rPr>
              <w:t xml:space="preserve"> 2-</w:t>
            </w:r>
            <w:r w:rsidRPr="00777D26">
              <w:rPr>
                <w:sz w:val="20"/>
                <w:highlight w:val="lightGray"/>
              </w:rPr>
              <w:t>4 hourly PRN</w:t>
            </w:r>
            <w:r w:rsidR="007101ED">
              <w:rPr>
                <w:sz w:val="20"/>
              </w:rPr>
              <w:t xml:space="preserve"> </w:t>
            </w:r>
            <w:r w:rsidR="007101ED" w:rsidRPr="007101ED">
              <w:rPr>
                <w:sz w:val="20"/>
                <w:highlight w:val="lightGray"/>
              </w:rPr>
              <w:t>(max dose 1200 micrograms per 24 hours)</w:t>
            </w:r>
          </w:p>
        </w:tc>
        <w:tc>
          <w:tcPr>
            <w:tcW w:w="6379" w:type="dxa"/>
            <w:vMerge/>
          </w:tcPr>
          <w:p w14:paraId="4780A275" w14:textId="77777777" w:rsidR="005F5817" w:rsidRPr="0021669F" w:rsidRDefault="005F5817" w:rsidP="000F76F9">
            <w:pPr>
              <w:rPr>
                <w:sz w:val="18"/>
              </w:rPr>
            </w:pPr>
          </w:p>
        </w:tc>
      </w:tr>
    </w:tbl>
    <w:p w14:paraId="73FD8E78" w14:textId="77777777" w:rsidR="00DF0DD4" w:rsidRDefault="00F574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6F278" wp14:editId="4160C1D5">
                <wp:simplePos x="0" y="0"/>
                <wp:positionH relativeFrom="column">
                  <wp:posOffset>17145</wp:posOffset>
                </wp:positionH>
                <wp:positionV relativeFrom="paragraph">
                  <wp:posOffset>1532495</wp:posOffset>
                </wp:positionV>
                <wp:extent cx="9876934" cy="241539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6934" cy="241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8F6C" w14:textId="77777777" w:rsidR="00F5744D" w:rsidRPr="00F5744D" w:rsidRDefault="00F5744D" w:rsidP="00F574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744D">
                              <w:rPr>
                                <w:sz w:val="16"/>
                                <w:szCs w:val="16"/>
                              </w:rPr>
                              <w:t xml:space="preserve">STHK Hospitals - QUICK SUMMARY COVID-19: Symptom Control Guidelines and the Dying Patient v4.0.  Dr </w:t>
                            </w:r>
                            <w:proofErr w:type="spellStart"/>
                            <w:r w:rsidRPr="00F5744D">
                              <w:rPr>
                                <w:sz w:val="16"/>
                                <w:szCs w:val="16"/>
                              </w:rPr>
                              <w:t>A.Thompson</w:t>
                            </w:r>
                            <w:proofErr w:type="spellEnd"/>
                            <w:r w:rsidRPr="00F5744D">
                              <w:rPr>
                                <w:sz w:val="16"/>
                                <w:szCs w:val="16"/>
                              </w:rPr>
                              <w:t xml:space="preserve">, Specialist Palliative Care Team, Dec </w:t>
                            </w:r>
                            <w:r w:rsidR="00631E8E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140532">
                              <w:rPr>
                                <w:sz w:val="16"/>
                                <w:szCs w:val="16"/>
                              </w:rPr>
                              <w:t>21.  Approved by DTG Dec 2021</w:t>
                            </w:r>
                            <w:r w:rsidRPr="00F5744D">
                              <w:rPr>
                                <w:sz w:val="16"/>
                                <w:szCs w:val="16"/>
                              </w:rPr>
                              <w:t xml:space="preserve">.  Review Dec </w:t>
                            </w:r>
                            <w:r w:rsidR="00631E8E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140532"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F278" id="_x0000_s1028" type="#_x0000_t202" style="position:absolute;margin-left:1.35pt;margin-top:120.65pt;width:777.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" filled="f" stroked="f">
                <v:textbox>
                  <w:txbxContent>
                    <w:p w14:paraId="639E8F6C" w14:textId="77777777" w:rsidR="00F5744D" w:rsidRPr="00F5744D" w:rsidRDefault="00F5744D" w:rsidP="00F574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744D">
                        <w:rPr>
                          <w:sz w:val="16"/>
                          <w:szCs w:val="16"/>
                        </w:rPr>
                        <w:t xml:space="preserve">STHK Hospitals - QUICK SUMMARY COVID-19: Symptom Control Guidelines and the Dying Patient v4.0.  Dr </w:t>
                      </w:r>
                      <w:proofErr w:type="spellStart"/>
                      <w:r w:rsidRPr="00F5744D">
                        <w:rPr>
                          <w:sz w:val="16"/>
                          <w:szCs w:val="16"/>
                        </w:rPr>
                        <w:t>A.Thompson</w:t>
                      </w:r>
                      <w:proofErr w:type="spellEnd"/>
                      <w:r w:rsidRPr="00F5744D">
                        <w:rPr>
                          <w:sz w:val="16"/>
                          <w:szCs w:val="16"/>
                        </w:rPr>
                        <w:t xml:space="preserve">, Specialist Palliative Care Team, Dec </w:t>
                      </w:r>
                      <w:r w:rsidR="00631E8E">
                        <w:rPr>
                          <w:sz w:val="16"/>
                          <w:szCs w:val="16"/>
                        </w:rPr>
                        <w:t>20</w:t>
                      </w:r>
                      <w:r w:rsidR="00140532">
                        <w:rPr>
                          <w:sz w:val="16"/>
                          <w:szCs w:val="16"/>
                        </w:rPr>
                        <w:t>21.  Approved by DTG Dec 2021</w:t>
                      </w:r>
                      <w:r w:rsidRPr="00F5744D">
                        <w:rPr>
                          <w:sz w:val="16"/>
                          <w:szCs w:val="16"/>
                        </w:rPr>
                        <w:t xml:space="preserve">.  Review Dec </w:t>
                      </w:r>
                      <w:r w:rsidR="00631E8E">
                        <w:rPr>
                          <w:sz w:val="16"/>
                          <w:szCs w:val="16"/>
                        </w:rPr>
                        <w:t>20</w:t>
                      </w:r>
                      <w:r w:rsidR="00140532">
                        <w:rPr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101ED" w:rsidRPr="005A120F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D2DC" wp14:editId="5FBE0A87">
                <wp:simplePos x="0" y="0"/>
                <wp:positionH relativeFrom="column">
                  <wp:posOffset>-94352</wp:posOffset>
                </wp:positionH>
                <wp:positionV relativeFrom="paragraph">
                  <wp:posOffset>902252</wp:posOffset>
                </wp:positionV>
                <wp:extent cx="9991725" cy="669458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6694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E0804" w14:textId="77777777" w:rsidR="007101ED" w:rsidRPr="007101ED" w:rsidRDefault="007101ED" w:rsidP="005A12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101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 – Palliative Care Team - extension 4266/triage phone 07917 828209</w:t>
                            </w:r>
                          </w:p>
                          <w:p w14:paraId="7556676D" w14:textId="77777777" w:rsidR="005A120F" w:rsidRPr="007101ED" w:rsidRDefault="007101ED" w:rsidP="00710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NB </w:t>
                            </w:r>
                            <w:r w:rsidRPr="007101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 of Hours</w:t>
                            </w:r>
                            <w:r w:rsidR="005A120F" w:rsidRPr="007101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1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7101E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120F" w:rsidRPr="007101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Advice Line: 0330 058 2850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8D2DC" id="Rectangle 2" o:spid="_x0000_s1029" style="position:absolute;margin-left:-7.45pt;margin-top:71.05pt;width:786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" filled="f" stroked="f">
                <v:textbox>
                  <w:txbxContent>
                    <w:p w14:paraId="400E0804" w14:textId="77777777" w:rsidR="007101ED" w:rsidRPr="007101ED" w:rsidRDefault="007101ED" w:rsidP="005A12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101E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 – Palliative Care Team - extension 4266/triage phone 07917 828209</w:t>
                      </w:r>
                    </w:p>
                    <w:p w14:paraId="7556676D" w14:textId="77777777" w:rsidR="005A120F" w:rsidRPr="007101ED" w:rsidRDefault="007101ED" w:rsidP="00710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NB </w:t>
                      </w:r>
                      <w:r w:rsidRPr="007101E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 of Hours</w:t>
                      </w:r>
                      <w:r w:rsidR="005A120F" w:rsidRPr="007101E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7101E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7101ED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A120F" w:rsidRPr="007101E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Advice Line: 0330 058 2850</w:t>
                      </w:r>
                    </w:p>
                  </w:txbxContent>
                </v:textbox>
              </v:rect>
            </w:pict>
          </mc:Fallback>
        </mc:AlternateContent>
      </w:r>
      <w:r w:rsidR="00777D26" w:rsidRPr="00777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6B742" wp14:editId="4ED12D20">
                <wp:simplePos x="0" y="0"/>
                <wp:positionH relativeFrom="column">
                  <wp:posOffset>-95250</wp:posOffset>
                </wp:positionH>
                <wp:positionV relativeFrom="paragraph">
                  <wp:posOffset>111125</wp:posOffset>
                </wp:positionV>
                <wp:extent cx="9991725" cy="954107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8C9C0D" w14:textId="77777777" w:rsidR="00777D26" w:rsidRDefault="00777D26" w:rsidP="00777D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Please refer to the full national guidelines “COVID-19 and Palliative, End of Life and Bereavement Care “- Latest version can be accessed via: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https://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apmonline.org/wp-content/uploads/2021/02/COVID-19-Palliative-and-End-of-Life-Care.pdf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and COVID-19 rapid guideline: managing COVID-19 -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https://</w:t>
                              </w:r>
                            </w:hyperlink>
                            <w:hyperlink r:id="rId10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www.nice.org.uk/guidance/ng191/chapter/Recommendations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6B742" id="TextBox 5" o:spid="_x0000_s1030" type="#_x0000_t202" style="position:absolute;margin-left:-7.5pt;margin-top:8.75pt;width:786.75pt;height:75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" filled="f" stroked="f">
                <v:textbox style="mso-fit-shape-to-text:t">
                  <w:txbxContent>
                    <w:p w14:paraId="148C9C0D" w14:textId="77777777" w:rsidR="00777D26" w:rsidRDefault="00777D26" w:rsidP="00777D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Please refer to the full national guidelines “COVID-19 and Palliative, End of Life and Bereavement Care “- Latest version can be accessed via: </w:t>
                      </w:r>
                      <w:hyperlink r:id="rId11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https://</w:t>
                        </w:r>
                      </w:hyperlink>
                      <w:hyperlink r:id="rId12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apmonline.org/wp-content/uploads/2021/02/COVID-19-Palliative-and-End-of-Life-Care.pdf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and COVID-19 rapid guideline: managing COVID-19 - </w:t>
                      </w:r>
                      <w:hyperlink r:id="rId13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https://</w:t>
                        </w:r>
                      </w:hyperlink>
                      <w:hyperlink r:id="rId14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www.nice.org.uk/guidance/ng191/chapter/Recommendations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F0DD4" w:rsidSect="00EA016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452B" w14:textId="77777777" w:rsidR="00F5744D" w:rsidRDefault="00F5744D" w:rsidP="00F5744D">
      <w:pPr>
        <w:spacing w:after="0" w:line="240" w:lineRule="auto"/>
      </w:pPr>
      <w:r>
        <w:separator/>
      </w:r>
    </w:p>
  </w:endnote>
  <w:endnote w:type="continuationSeparator" w:id="0">
    <w:p w14:paraId="73DB5F6F" w14:textId="77777777" w:rsidR="00F5744D" w:rsidRDefault="00F5744D" w:rsidP="00F5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D0FC6" w14:textId="77777777" w:rsidR="00F5744D" w:rsidRDefault="00F5744D" w:rsidP="00F5744D">
      <w:pPr>
        <w:spacing w:after="0" w:line="240" w:lineRule="auto"/>
      </w:pPr>
      <w:r>
        <w:separator/>
      </w:r>
    </w:p>
  </w:footnote>
  <w:footnote w:type="continuationSeparator" w:id="0">
    <w:p w14:paraId="7268C00C" w14:textId="77777777" w:rsidR="00F5744D" w:rsidRDefault="00F5744D" w:rsidP="00F5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0A2"/>
    <w:multiLevelType w:val="hybridMultilevel"/>
    <w:tmpl w:val="B4406D0E"/>
    <w:lvl w:ilvl="0" w:tplc="33AE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EE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6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B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C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2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A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A4722C"/>
    <w:multiLevelType w:val="hybridMultilevel"/>
    <w:tmpl w:val="CA746B82"/>
    <w:lvl w:ilvl="0" w:tplc="43EAC2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231427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F0E6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CED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6AF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E893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CFA2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C46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FC113F1"/>
    <w:multiLevelType w:val="hybridMultilevel"/>
    <w:tmpl w:val="933AAE6A"/>
    <w:lvl w:ilvl="0" w:tplc="913630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5F08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ABE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3C2A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7E82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22F4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B8A9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5C1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6DC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0E2611C"/>
    <w:multiLevelType w:val="hybridMultilevel"/>
    <w:tmpl w:val="CDF83FE4"/>
    <w:lvl w:ilvl="0" w:tplc="BBE022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0D2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DC25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FA4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84F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FC82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D70A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008C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C37AC9"/>
    <w:multiLevelType w:val="hybridMultilevel"/>
    <w:tmpl w:val="86169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49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0B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D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81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02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1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0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4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4A0872"/>
    <w:multiLevelType w:val="hybridMultilevel"/>
    <w:tmpl w:val="75C80B04"/>
    <w:lvl w:ilvl="0" w:tplc="EA6A7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6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2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3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26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8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2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6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0B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194A9D"/>
    <w:multiLevelType w:val="hybridMultilevel"/>
    <w:tmpl w:val="87E01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96F09"/>
    <w:multiLevelType w:val="hybridMultilevel"/>
    <w:tmpl w:val="1DD6FC7C"/>
    <w:lvl w:ilvl="0" w:tplc="DC787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68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A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C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4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0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CF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8C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572C81"/>
    <w:multiLevelType w:val="hybridMultilevel"/>
    <w:tmpl w:val="E3E4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E86"/>
    <w:multiLevelType w:val="hybridMultilevel"/>
    <w:tmpl w:val="6A0CC8FE"/>
    <w:lvl w:ilvl="0" w:tplc="7472B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03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F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1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A0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40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0168D9"/>
    <w:multiLevelType w:val="hybridMultilevel"/>
    <w:tmpl w:val="1EF04008"/>
    <w:lvl w:ilvl="0" w:tplc="FEE8A2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EA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8B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003C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9A6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CA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6569C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7902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028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8CD55EB"/>
    <w:multiLevelType w:val="hybridMultilevel"/>
    <w:tmpl w:val="E5E0568A"/>
    <w:lvl w:ilvl="0" w:tplc="86F4E6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E0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2C2E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1C09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D2D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D2D9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228DE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EC2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94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6A1D1D4E"/>
    <w:multiLevelType w:val="hybridMultilevel"/>
    <w:tmpl w:val="9E5480B4"/>
    <w:lvl w:ilvl="0" w:tplc="08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 w15:restartNumberingAfterBreak="0">
    <w:nsid w:val="6B8C182E"/>
    <w:multiLevelType w:val="hybridMultilevel"/>
    <w:tmpl w:val="DD385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552784"/>
    <w:multiLevelType w:val="hybridMultilevel"/>
    <w:tmpl w:val="6E0EADA4"/>
    <w:lvl w:ilvl="0" w:tplc="1E36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A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22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A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0D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2E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E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F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65"/>
    <w:rsid w:val="00001FF9"/>
    <w:rsid w:val="00006885"/>
    <w:rsid w:val="000A599B"/>
    <w:rsid w:val="000B40CD"/>
    <w:rsid w:val="000B4A22"/>
    <w:rsid w:val="000D1A06"/>
    <w:rsid w:val="00140532"/>
    <w:rsid w:val="0014660A"/>
    <w:rsid w:val="00212F85"/>
    <w:rsid w:val="0021669F"/>
    <w:rsid w:val="0022770E"/>
    <w:rsid w:val="00324A9F"/>
    <w:rsid w:val="005A120F"/>
    <w:rsid w:val="005F5817"/>
    <w:rsid w:val="005F77EF"/>
    <w:rsid w:val="006178BB"/>
    <w:rsid w:val="00631E8E"/>
    <w:rsid w:val="006640F8"/>
    <w:rsid w:val="00686841"/>
    <w:rsid w:val="007101ED"/>
    <w:rsid w:val="00742CB8"/>
    <w:rsid w:val="00777D26"/>
    <w:rsid w:val="008418E6"/>
    <w:rsid w:val="00864DFF"/>
    <w:rsid w:val="00905E73"/>
    <w:rsid w:val="00953C91"/>
    <w:rsid w:val="009B029D"/>
    <w:rsid w:val="00A9692A"/>
    <w:rsid w:val="00C03EA4"/>
    <w:rsid w:val="00C35C5C"/>
    <w:rsid w:val="00D41BE6"/>
    <w:rsid w:val="00D97F60"/>
    <w:rsid w:val="00DB4EC5"/>
    <w:rsid w:val="00DF0DD4"/>
    <w:rsid w:val="00E0442C"/>
    <w:rsid w:val="00EA0165"/>
    <w:rsid w:val="00EB034C"/>
    <w:rsid w:val="00F5744D"/>
    <w:rsid w:val="00F734B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A5B89"/>
  <w15:docId w15:val="{DED86763-13B2-4DD5-BE14-F025482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7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7D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44D"/>
  </w:style>
  <w:style w:type="paragraph" w:styleId="Footer">
    <w:name w:val="footer"/>
    <w:basedOn w:val="Normal"/>
    <w:link w:val="FooterChar"/>
    <w:uiPriority w:val="99"/>
    <w:unhideWhenUsed/>
    <w:rsid w:val="00F5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3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0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4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3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302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8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3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9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7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monline.org/wp-content/uploads/2021/02/COVID-19-Palliative-and-End-of-Life-Care.pdf" TargetMode="External"/><Relationship Id="rId13" Type="http://schemas.openxmlformats.org/officeDocument/2006/relationships/hyperlink" Target="https://www.nice.org.uk/guidance/ng191/chapter/Recommend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monline.org/wp-content/uploads/2021/02/COVID-19-Palliative-and-End-of-Life-Care.pdf" TargetMode="External"/><Relationship Id="rId12" Type="http://schemas.openxmlformats.org/officeDocument/2006/relationships/hyperlink" Target="https://apmonline.org/wp-content/uploads/2021/02/COVID-19-Palliative-and-End-of-Life-Ca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monline.org/wp-content/uploads/2021/02/COVID-19-Palliative-and-End-of-Life-Car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ng191/chapter/Recommend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91/chapter/Recommendations" TargetMode="External"/><Relationship Id="rId14" Type="http://schemas.openxmlformats.org/officeDocument/2006/relationships/hyperlink" Target="https://www.nice.org.uk/guidance/ng191/chapter/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Atherton;Dr Anthony Thompson</dc:creator>
  <cp:lastModifiedBy>Lynsey Thomas</cp:lastModifiedBy>
  <cp:revision>2</cp:revision>
  <dcterms:created xsi:type="dcterms:W3CDTF">2021-12-14T12:42:00Z</dcterms:created>
  <dcterms:modified xsi:type="dcterms:W3CDTF">2021-12-14T12:42:00Z</dcterms:modified>
</cp:coreProperties>
</file>