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075A5" w14:textId="77777777" w:rsidR="003035BD" w:rsidRPr="00C97993" w:rsidRDefault="007828BE" w:rsidP="007828BE">
      <w:pPr>
        <w:jc w:val="center"/>
        <w:rPr>
          <w:b/>
          <w:bCs/>
          <w:u w:val="single"/>
        </w:rPr>
      </w:pPr>
      <w:r w:rsidRPr="00C97993">
        <w:rPr>
          <w:b/>
          <w:bCs/>
          <w:u w:val="single"/>
        </w:rPr>
        <w:t xml:space="preserve">Guidance on the use of </w:t>
      </w:r>
      <w:proofErr w:type="gramStart"/>
      <w:r w:rsidRPr="00C97993">
        <w:rPr>
          <w:b/>
          <w:bCs/>
          <w:u w:val="single"/>
        </w:rPr>
        <w:t>Non Invasive</w:t>
      </w:r>
      <w:proofErr w:type="gramEnd"/>
      <w:r w:rsidRPr="00C97993">
        <w:rPr>
          <w:b/>
          <w:bCs/>
          <w:u w:val="single"/>
        </w:rPr>
        <w:t xml:space="preserve"> Ventilation (NIV) and High flow Oxygen (HFO (</w:t>
      </w:r>
      <w:proofErr w:type="spellStart"/>
      <w:r w:rsidRPr="00C97993">
        <w:rPr>
          <w:b/>
          <w:bCs/>
          <w:u w:val="single"/>
        </w:rPr>
        <w:t>Air</w:t>
      </w:r>
      <w:r w:rsidR="00C97993" w:rsidRPr="00C97993">
        <w:rPr>
          <w:b/>
          <w:bCs/>
          <w:u w:val="single"/>
        </w:rPr>
        <w:t>vo</w:t>
      </w:r>
      <w:proofErr w:type="spellEnd"/>
      <w:r w:rsidR="00C97993" w:rsidRPr="00C97993">
        <w:rPr>
          <w:b/>
          <w:bCs/>
          <w:u w:val="single"/>
        </w:rPr>
        <w:t xml:space="preserve">)) in the context of COVID-19 and </w:t>
      </w:r>
      <w:r w:rsidR="00C97993">
        <w:rPr>
          <w:b/>
          <w:bCs/>
          <w:u w:val="single"/>
        </w:rPr>
        <w:t xml:space="preserve">severe </w:t>
      </w:r>
      <w:r w:rsidR="00C97993" w:rsidRPr="00C97993">
        <w:rPr>
          <w:b/>
          <w:bCs/>
          <w:u w:val="single"/>
        </w:rPr>
        <w:t>ventilatory failure.</w:t>
      </w:r>
    </w:p>
    <w:p w14:paraId="160E184E" w14:textId="77777777" w:rsidR="007828BE" w:rsidRDefault="007828BE" w:rsidP="007828BE">
      <w:pPr>
        <w:jc w:val="center"/>
      </w:pPr>
    </w:p>
    <w:p w14:paraId="35C72840" w14:textId="77777777" w:rsidR="007828BE" w:rsidRDefault="007828BE" w:rsidP="007828BE">
      <w:pPr>
        <w:jc w:val="center"/>
      </w:pPr>
    </w:p>
    <w:p w14:paraId="345FF6C4" w14:textId="77777777" w:rsidR="007828BE" w:rsidRPr="00C63BED" w:rsidRDefault="007828BE" w:rsidP="007828BE">
      <w:pPr>
        <w:jc w:val="both"/>
      </w:pPr>
      <w:r w:rsidRPr="007828BE">
        <w:t xml:space="preserve">Aerosols generated by medical procedures are one route for the transmission of the COVID-19 virus. </w:t>
      </w:r>
      <w:r>
        <w:t xml:space="preserve">Both the use of </w:t>
      </w:r>
      <w:r w:rsidRPr="00106645">
        <w:rPr>
          <w:b/>
          <w:bCs/>
        </w:rPr>
        <w:t>NIV</w:t>
      </w:r>
      <w:r w:rsidR="003E3DDE">
        <w:rPr>
          <w:b/>
          <w:bCs/>
        </w:rPr>
        <w:t>/CPAP</w:t>
      </w:r>
      <w:r>
        <w:t xml:space="preserve"> and </w:t>
      </w:r>
      <w:r w:rsidRPr="00106645">
        <w:rPr>
          <w:b/>
          <w:bCs/>
        </w:rPr>
        <w:t xml:space="preserve">HFO </w:t>
      </w:r>
      <w:r w:rsidR="00664391">
        <w:t>are considered aerosol</w:t>
      </w:r>
      <w:r>
        <w:t xml:space="preserve"> generating procedures.</w:t>
      </w:r>
      <w:r w:rsidR="00BE391E">
        <w:t xml:space="preserve"> Use of these modalities clearly has implications for infection control and outcome.</w:t>
      </w:r>
      <w:r w:rsidR="00C63BED">
        <w:t xml:space="preserve"> These modalities can </w:t>
      </w:r>
      <w:r w:rsidR="00C63BED" w:rsidRPr="00C63BED">
        <w:rPr>
          <w:b/>
        </w:rPr>
        <w:t>ONLY</w:t>
      </w:r>
      <w:r w:rsidR="00C63BED">
        <w:t xml:space="preserve"> be provided in an enclosed space in ED or in the </w:t>
      </w:r>
      <w:r w:rsidR="003E3DDE">
        <w:t>NIV/CPAP</w:t>
      </w:r>
      <w:r w:rsidR="00C63BED">
        <w:t xml:space="preserve"> area of the Respiratory Department where all staff are wearing </w:t>
      </w:r>
      <w:r w:rsidR="00C63BED">
        <w:rPr>
          <w:b/>
        </w:rPr>
        <w:t>enhanced PPE including FFP3 mask.</w:t>
      </w:r>
    </w:p>
    <w:p w14:paraId="608A9D09" w14:textId="77777777" w:rsidR="007828BE" w:rsidRDefault="007828BE" w:rsidP="007828BE">
      <w:pPr>
        <w:jc w:val="both"/>
      </w:pPr>
    </w:p>
    <w:p w14:paraId="40B74852" w14:textId="77777777" w:rsidR="00BE391E" w:rsidRDefault="007828BE" w:rsidP="007828BE">
      <w:pPr>
        <w:jc w:val="both"/>
      </w:pPr>
      <w:r>
        <w:t xml:space="preserve">Ward based </w:t>
      </w:r>
      <w:r w:rsidR="003E3DDE">
        <w:t>NIV/CPAP</w:t>
      </w:r>
      <w:r>
        <w:t xml:space="preserve"> will continue to be provided to those patients where Critical care is </w:t>
      </w:r>
      <w:r w:rsidR="00BE391E">
        <w:t xml:space="preserve">NOT </w:t>
      </w:r>
      <w:proofErr w:type="gramStart"/>
      <w:r w:rsidR="00BE391E">
        <w:t>app</w:t>
      </w:r>
      <w:r w:rsidR="00664391">
        <w:t>ropriate</w:t>
      </w:r>
      <w:proofErr w:type="gramEnd"/>
      <w:r w:rsidR="00664391">
        <w:t xml:space="preserve"> and the ceiling of treatment</w:t>
      </w:r>
      <w:r w:rsidR="00BE391E">
        <w:t xml:space="preserve"> will be </w:t>
      </w:r>
      <w:r w:rsidR="003E3DDE">
        <w:t>NIV/CPAP</w:t>
      </w:r>
      <w:r w:rsidR="00BE391E">
        <w:t xml:space="preserve">. </w:t>
      </w:r>
      <w:proofErr w:type="gramStart"/>
      <w:r w:rsidR="00BE391E">
        <w:t>e.g.</w:t>
      </w:r>
      <w:proofErr w:type="gramEnd"/>
      <w:r w:rsidR="00BE391E">
        <w:t xml:space="preserve"> patients with Chronic Obstructive Pulmonary disease or neuromuscular weakness.</w:t>
      </w:r>
    </w:p>
    <w:p w14:paraId="525E5AC3" w14:textId="77777777" w:rsidR="00BE391E" w:rsidRDefault="00BE391E" w:rsidP="007828BE">
      <w:pPr>
        <w:jc w:val="both"/>
      </w:pPr>
    </w:p>
    <w:p w14:paraId="08CCD70A" w14:textId="77777777" w:rsidR="00BE391E" w:rsidRPr="00106645" w:rsidRDefault="003E3DDE" w:rsidP="007828BE">
      <w:pPr>
        <w:jc w:val="both"/>
        <w:rPr>
          <w:b/>
          <w:bCs/>
        </w:rPr>
      </w:pPr>
      <w:r>
        <w:rPr>
          <w:b/>
          <w:bCs/>
        </w:rPr>
        <w:t>NIV/CPAP</w:t>
      </w:r>
      <w:r w:rsidR="00BE391E" w:rsidRPr="00106645">
        <w:rPr>
          <w:b/>
          <w:bCs/>
        </w:rPr>
        <w:t xml:space="preserve"> will NOT be initiated in any patient unless,</w:t>
      </w:r>
    </w:p>
    <w:p w14:paraId="35625933" w14:textId="77777777" w:rsidR="007828BE" w:rsidRDefault="00BE391E" w:rsidP="00BE391E">
      <w:pPr>
        <w:pStyle w:val="ListParagraph"/>
        <w:numPr>
          <w:ilvl w:val="0"/>
          <w:numId w:val="1"/>
        </w:numPr>
        <w:jc w:val="both"/>
      </w:pPr>
      <w:r>
        <w:t>Appropriate COVID-19 swabs have been taken.</w:t>
      </w:r>
    </w:p>
    <w:p w14:paraId="1904C6B5" w14:textId="77777777" w:rsidR="00BE391E" w:rsidRDefault="00BE391E" w:rsidP="00BE391E">
      <w:pPr>
        <w:pStyle w:val="ListParagraph"/>
        <w:numPr>
          <w:ilvl w:val="0"/>
          <w:numId w:val="1"/>
        </w:numPr>
        <w:jc w:val="both"/>
      </w:pPr>
      <w:r>
        <w:t xml:space="preserve">The ceiling of care of </w:t>
      </w:r>
      <w:r w:rsidR="003E3DDE">
        <w:t>NIV/CPAP</w:t>
      </w:r>
      <w:r>
        <w:t xml:space="preserve"> is clearly documented.</w:t>
      </w:r>
    </w:p>
    <w:p w14:paraId="6747C4AD" w14:textId="77777777" w:rsidR="00BE391E" w:rsidRDefault="00BE391E" w:rsidP="00BE391E">
      <w:pPr>
        <w:pStyle w:val="ListParagraph"/>
        <w:numPr>
          <w:ilvl w:val="0"/>
          <w:numId w:val="1"/>
        </w:numPr>
        <w:jc w:val="both"/>
      </w:pPr>
      <w:r>
        <w:t>The CPR status of the patient is appropriately documented in the case notes.</w:t>
      </w:r>
    </w:p>
    <w:p w14:paraId="47510028" w14:textId="77777777" w:rsidR="007828BE" w:rsidRDefault="007828BE" w:rsidP="007828BE">
      <w:pPr>
        <w:jc w:val="both"/>
      </w:pPr>
    </w:p>
    <w:p w14:paraId="097FDA2C" w14:textId="77777777" w:rsidR="007828BE" w:rsidRPr="00106645" w:rsidRDefault="00BE391E" w:rsidP="007828BE">
      <w:pPr>
        <w:jc w:val="both"/>
        <w:rPr>
          <w:b/>
          <w:bCs/>
        </w:rPr>
      </w:pPr>
      <w:r w:rsidRPr="00106645">
        <w:rPr>
          <w:b/>
          <w:bCs/>
        </w:rPr>
        <w:t>Once COVID-19 swab result is available two pathways will emerge.</w:t>
      </w:r>
    </w:p>
    <w:p w14:paraId="08E18315" w14:textId="77777777" w:rsidR="00BE391E" w:rsidRDefault="00BE391E" w:rsidP="007828BE">
      <w:pPr>
        <w:jc w:val="both"/>
      </w:pPr>
      <w:r>
        <w:rPr>
          <w:noProof/>
          <w:lang w:eastAsia="en-GB"/>
        </w:rPr>
        <w:drawing>
          <wp:inline distT="0" distB="0" distL="0" distR="0" wp14:anchorId="384B1EAD" wp14:editId="34E4A558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E6E7FD7" w14:textId="77777777" w:rsidR="007828BE" w:rsidRDefault="007828BE" w:rsidP="007828BE">
      <w:pPr>
        <w:jc w:val="both"/>
      </w:pPr>
    </w:p>
    <w:p w14:paraId="002B3254" w14:textId="77777777" w:rsidR="00801F8A" w:rsidRDefault="00801F8A" w:rsidP="007828BE">
      <w:pPr>
        <w:jc w:val="both"/>
      </w:pPr>
    </w:p>
    <w:p w14:paraId="14365E1E" w14:textId="77777777" w:rsidR="00801F8A" w:rsidRDefault="008D29AB" w:rsidP="007828BE">
      <w:pPr>
        <w:jc w:val="both"/>
      </w:pPr>
      <w:r w:rsidRPr="008D29AB">
        <w:rPr>
          <w:b/>
          <w:bCs/>
        </w:rPr>
        <w:lastRenderedPageBreak/>
        <w:t>Overall management</w:t>
      </w:r>
      <w:r w:rsidR="00801F8A" w:rsidRPr="008D29AB">
        <w:rPr>
          <w:b/>
        </w:rPr>
        <w:t xml:space="preserve"> will be governed </w:t>
      </w:r>
      <w:r w:rsidR="00C63BED">
        <w:rPr>
          <w:b/>
        </w:rPr>
        <w:t xml:space="preserve">by performance status </w:t>
      </w:r>
      <w:r w:rsidR="00801F8A" w:rsidRPr="008D29AB">
        <w:rPr>
          <w:b/>
        </w:rPr>
        <w:t>and whether the patient is a candidate for critical care</w:t>
      </w:r>
      <w:r w:rsidR="00801F8A">
        <w:t xml:space="preserve">. </w:t>
      </w:r>
      <w:r w:rsidR="00C63BED">
        <w:t xml:space="preserve">The Clinical Frailty Scale (CFS) should be used in patients over 65 with no stable </w:t>
      </w:r>
      <w:proofErr w:type="gramStart"/>
      <w:r w:rsidR="00C63BED">
        <w:t>long term</w:t>
      </w:r>
      <w:proofErr w:type="gramEnd"/>
      <w:r w:rsidR="00C63BED">
        <w:t xml:space="preserve"> disability or autism. An individualised assessment for patients under 65 or any age with long term disability, learning disabilities or autism, should be used. </w:t>
      </w:r>
    </w:p>
    <w:p w14:paraId="04C54EB7" w14:textId="77777777" w:rsidR="008D29AB" w:rsidRDefault="008D29AB" w:rsidP="007828BE">
      <w:pPr>
        <w:jc w:val="both"/>
      </w:pPr>
    </w:p>
    <w:p w14:paraId="20696B9A" w14:textId="77777777" w:rsidR="00801F8A" w:rsidRDefault="00801F8A" w:rsidP="007828BE">
      <w:pPr>
        <w:jc w:val="both"/>
      </w:pPr>
      <w:r>
        <w:t>If a patient</w:t>
      </w:r>
      <w:r w:rsidR="00106645">
        <w:t>’</w:t>
      </w:r>
      <w:r>
        <w:t xml:space="preserve">s clinical frailty is deemed </w:t>
      </w:r>
      <w:r w:rsidR="00106645">
        <w:t>5 or more</w:t>
      </w:r>
      <w:r w:rsidR="00C63BED">
        <w:t xml:space="preserve"> (or equivalent)</w:t>
      </w:r>
      <w:r w:rsidR="00106645">
        <w:t xml:space="preserve"> then they w</w:t>
      </w:r>
      <w:r w:rsidR="008D29AB">
        <w:t>ill be deemed NOT for ITU</w:t>
      </w:r>
      <w:r w:rsidR="00664391">
        <w:t>. The ceiling of treatment</w:t>
      </w:r>
      <w:r w:rsidR="00106645">
        <w:t xml:space="preserve"> will th</w:t>
      </w:r>
      <w:r w:rsidR="00664391">
        <w:t>erefore be ward based treatment</w:t>
      </w:r>
      <w:r w:rsidR="00106645">
        <w:t xml:space="preserve"> with</w:t>
      </w:r>
      <w:r w:rsidR="003731E9">
        <w:t xml:space="preserve"> maximum</w:t>
      </w:r>
      <w:r w:rsidR="00106645">
        <w:t xml:space="preserve"> </w:t>
      </w:r>
      <w:r w:rsidR="00106645" w:rsidRPr="00106645">
        <w:t>oxygenat</w:t>
      </w:r>
      <w:r w:rsidR="00106645">
        <w:t>ion</w:t>
      </w:r>
      <w:r w:rsidR="00106645" w:rsidRPr="00106645">
        <w:t xml:space="preserve"> </w:t>
      </w:r>
      <w:r w:rsidR="00106645">
        <w:t>via</w:t>
      </w:r>
      <w:r w:rsidR="008E1906">
        <w:t xml:space="preserve"> face mask with reservoir bag OR </w:t>
      </w:r>
      <w:r w:rsidR="003E3DDE">
        <w:t>NIV/CPAP</w:t>
      </w:r>
      <w:r w:rsidR="008E1906">
        <w:t xml:space="preserve">/HFO in an appropriate enclosed environment (Respiratory </w:t>
      </w:r>
      <w:r w:rsidR="003E3DDE">
        <w:t>NIV/CPAP</w:t>
      </w:r>
      <w:r w:rsidR="008E1906">
        <w:t xml:space="preserve"> area) as guided by the Respiratory physicians.</w:t>
      </w:r>
    </w:p>
    <w:p w14:paraId="0751A38F" w14:textId="77777777" w:rsidR="00106645" w:rsidRDefault="00106645" w:rsidP="00106645">
      <w:pPr>
        <w:pStyle w:val="ListParagraph"/>
        <w:numPr>
          <w:ilvl w:val="0"/>
          <w:numId w:val="2"/>
        </w:numPr>
        <w:jc w:val="both"/>
      </w:pPr>
      <w:r>
        <w:t>NOT for CPR must clearly be documented in the case notes.</w:t>
      </w:r>
    </w:p>
    <w:p w14:paraId="61FC5BDF" w14:textId="77777777" w:rsidR="00106645" w:rsidRDefault="00106645" w:rsidP="00106645">
      <w:pPr>
        <w:jc w:val="both"/>
      </w:pPr>
    </w:p>
    <w:p w14:paraId="295D5952" w14:textId="77777777" w:rsidR="00106645" w:rsidRDefault="00106645" w:rsidP="00106645">
      <w:pPr>
        <w:jc w:val="both"/>
      </w:pPr>
      <w:r w:rsidRPr="00106645">
        <w:t>If a patient’s clinical frailty is deemed</w:t>
      </w:r>
      <w:r>
        <w:t xml:space="preserve"> 4 or less</w:t>
      </w:r>
      <w:r w:rsidR="00C63BED">
        <w:t xml:space="preserve"> (or equivalent)</w:t>
      </w:r>
      <w:r>
        <w:t xml:space="preserve"> they would be considered a candi</w:t>
      </w:r>
      <w:r w:rsidR="008D29AB">
        <w:t xml:space="preserve">date for ITU. </w:t>
      </w:r>
      <w:r>
        <w:t>Critical care assessment should occur as quickly as practically possible.</w:t>
      </w:r>
    </w:p>
    <w:p w14:paraId="7D387A6C" w14:textId="77777777" w:rsidR="00106645" w:rsidRDefault="00106645" w:rsidP="00106645">
      <w:pPr>
        <w:pStyle w:val="ListParagraph"/>
        <w:numPr>
          <w:ilvl w:val="0"/>
          <w:numId w:val="2"/>
        </w:numPr>
        <w:jc w:val="both"/>
      </w:pPr>
      <w:proofErr w:type="gramStart"/>
      <w:r>
        <w:t>In the event that</w:t>
      </w:r>
      <w:proofErr w:type="gramEnd"/>
      <w:r>
        <w:t xml:space="preserve"> the patient is unsuitable for critical care</w:t>
      </w:r>
      <w:r w:rsidR="008E1906">
        <w:t xml:space="preserve">, the reasons and the limits of any respiratory support, either </w:t>
      </w:r>
      <w:r w:rsidR="003E3DDE">
        <w:t>NIV/CPAP</w:t>
      </w:r>
      <w:r w:rsidR="008E1906">
        <w:t xml:space="preserve"> or HFO, must be clearly documented.</w:t>
      </w:r>
      <w:r>
        <w:t xml:space="preserve"> </w:t>
      </w:r>
      <w:r w:rsidR="00C76254">
        <w:t>Not for CPR status must be appropriat</w:t>
      </w:r>
      <w:r w:rsidR="008D29AB">
        <w:t>ely documented in the case note</w:t>
      </w:r>
      <w:r w:rsidR="008E1906">
        <w:t>s</w:t>
      </w:r>
      <w:r w:rsidR="00C76254">
        <w:t>. Palliation as appropriate should be initiated.</w:t>
      </w:r>
    </w:p>
    <w:p w14:paraId="7ABD870E" w14:textId="77777777" w:rsidR="00C76254" w:rsidRDefault="00C76254" w:rsidP="00C76254"/>
    <w:p w14:paraId="53F30DCF" w14:textId="77777777" w:rsidR="00C76254" w:rsidRPr="003731E9" w:rsidRDefault="00C76254" w:rsidP="003731E9">
      <w:pPr>
        <w:jc w:val="both"/>
        <w:rPr>
          <w:b/>
          <w:i/>
        </w:rPr>
      </w:pPr>
    </w:p>
    <w:p w14:paraId="2E65A36E" w14:textId="77777777" w:rsidR="00C76254" w:rsidRDefault="00C76254" w:rsidP="00C76254">
      <w:pPr>
        <w:jc w:val="center"/>
      </w:pPr>
      <w:r>
        <w:rPr>
          <w:noProof/>
          <w:lang w:eastAsia="en-GB"/>
        </w:rPr>
        <w:drawing>
          <wp:inline distT="0" distB="0" distL="0" distR="0" wp14:anchorId="42A7FA49" wp14:editId="413989C7">
            <wp:extent cx="4253037" cy="4404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975" cy="4436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B75A7" w14:textId="77777777" w:rsidR="00C76254" w:rsidRDefault="00C76254" w:rsidP="00C76254">
      <w:pPr>
        <w:jc w:val="center"/>
      </w:pPr>
    </w:p>
    <w:p w14:paraId="601D2E1B" w14:textId="77777777" w:rsidR="00C76254" w:rsidRDefault="00C76254" w:rsidP="00C76254">
      <w:pPr>
        <w:jc w:val="center"/>
      </w:pPr>
    </w:p>
    <w:p w14:paraId="5A7EA29D" w14:textId="77777777" w:rsidR="00C76254" w:rsidRDefault="00C76254" w:rsidP="00C76254">
      <w:pPr>
        <w:jc w:val="both"/>
      </w:pPr>
      <w:r>
        <w:t>Further considerations.</w:t>
      </w:r>
    </w:p>
    <w:p w14:paraId="473154F3" w14:textId="77777777" w:rsidR="008E1906" w:rsidRDefault="008E1906" w:rsidP="008E1906">
      <w:pPr>
        <w:pStyle w:val="ListParagraph"/>
      </w:pPr>
    </w:p>
    <w:p w14:paraId="4A94C80B" w14:textId="77777777" w:rsidR="008E1906" w:rsidRDefault="008E1906" w:rsidP="00A71A91">
      <w:pPr>
        <w:pStyle w:val="ListParagraph"/>
        <w:numPr>
          <w:ilvl w:val="0"/>
          <w:numId w:val="2"/>
        </w:numPr>
      </w:pPr>
      <w:r>
        <w:t xml:space="preserve">All patients with confirmed or strongly suspected COVID-19 infection that require sustained oxygen </w:t>
      </w:r>
      <w:proofErr w:type="spellStart"/>
      <w:r>
        <w:t>theapy</w:t>
      </w:r>
      <w:proofErr w:type="spellEnd"/>
      <w:r>
        <w:t xml:space="preserve"> should be com</w:t>
      </w:r>
      <w:r w:rsidR="00A71A91">
        <w:t>menced on</w:t>
      </w:r>
      <w:r>
        <w:t xml:space="preserve"> PO Dexamethasone</w:t>
      </w:r>
      <w:r w:rsidR="00A71A91">
        <w:t xml:space="preserve">, with consideration for </w:t>
      </w:r>
      <w:r w:rsidR="00A71A91" w:rsidRPr="00A71A91">
        <w:t>interleukin-6 receptor</w:t>
      </w:r>
      <w:r w:rsidR="00A71A91">
        <w:t xml:space="preserve"> binding Mab treatment (</w:t>
      </w:r>
      <w:proofErr w:type="spellStart"/>
      <w:r w:rsidR="00A71A91">
        <w:t>Tocilucimab</w:t>
      </w:r>
      <w:proofErr w:type="spellEnd"/>
      <w:r w:rsidR="00A71A91">
        <w:t xml:space="preserve">, </w:t>
      </w:r>
      <w:proofErr w:type="spellStart"/>
      <w:r w:rsidR="00A71A91">
        <w:t>Sarilumab</w:t>
      </w:r>
      <w:proofErr w:type="spellEnd"/>
      <w:r w:rsidR="00A71A91">
        <w:t>) – as per national guidance</w:t>
      </w:r>
      <w:r>
        <w:t xml:space="preserve">. </w:t>
      </w:r>
    </w:p>
    <w:p w14:paraId="48CB18B3" w14:textId="77777777" w:rsidR="00C76254" w:rsidRDefault="00C97993" w:rsidP="00C97993">
      <w:pPr>
        <w:pStyle w:val="ListParagraph"/>
        <w:numPr>
          <w:ilvl w:val="0"/>
          <w:numId w:val="2"/>
        </w:numPr>
      </w:pPr>
      <w:r w:rsidRPr="00C97993">
        <w:t>Saline nebs</w:t>
      </w:r>
      <w:r w:rsidR="002E0894">
        <w:t xml:space="preserve"> </w:t>
      </w:r>
      <w:proofErr w:type="spellStart"/>
      <w:r w:rsidR="002E0894">
        <w:t>tds</w:t>
      </w:r>
      <w:proofErr w:type="spellEnd"/>
      <w:r w:rsidRPr="00C97993">
        <w:t>/NACSYS 600mg od</w:t>
      </w:r>
      <w:r>
        <w:t xml:space="preserve"> </w:t>
      </w:r>
      <w:r w:rsidR="003731E9">
        <w:t>should be considered</w:t>
      </w:r>
      <w:r w:rsidR="00C76254">
        <w:t xml:space="preserve"> in all patients </w:t>
      </w:r>
      <w:r w:rsidR="00C76254" w:rsidRPr="00C76254">
        <w:t>that have suspected or confirmed COVID-19, who require oxygen.</w:t>
      </w:r>
    </w:p>
    <w:p w14:paraId="327F688A" w14:textId="77777777" w:rsidR="00C97993" w:rsidRDefault="00C97993" w:rsidP="00C97993"/>
    <w:p w14:paraId="5CDA43FB" w14:textId="77777777" w:rsidR="00C97993" w:rsidRDefault="00C97993" w:rsidP="00C97993">
      <w:pPr>
        <w:pStyle w:val="ListParagraph"/>
        <w:numPr>
          <w:ilvl w:val="0"/>
          <w:numId w:val="2"/>
        </w:numPr>
      </w:pPr>
      <w:r>
        <w:t xml:space="preserve">Patients who normally use home CPAP or </w:t>
      </w:r>
      <w:r w:rsidR="003E3DDE">
        <w:t>NIV/CPAP</w:t>
      </w:r>
      <w:r>
        <w:t xml:space="preserve"> and are using their own machine whilst in hospital (either prior to COVID 19 testing or are confirmed COVID 19) must:</w:t>
      </w:r>
    </w:p>
    <w:p w14:paraId="3C6EE9D2" w14:textId="77777777" w:rsidR="00C97993" w:rsidRDefault="00C97993" w:rsidP="00C97993">
      <w:pPr>
        <w:pStyle w:val="ListParagraph"/>
      </w:pPr>
    </w:p>
    <w:p w14:paraId="060CFDE0" w14:textId="77777777" w:rsidR="00C97993" w:rsidRDefault="00C97993" w:rsidP="00C97993">
      <w:pPr>
        <w:pStyle w:val="ListParagraph"/>
        <w:numPr>
          <w:ilvl w:val="1"/>
          <w:numId w:val="2"/>
        </w:numPr>
      </w:pPr>
      <w:r>
        <w:t>Use an additional filter between the mask and exhaust port which should be changed every 24 hours.</w:t>
      </w:r>
    </w:p>
    <w:p w14:paraId="3B743305" w14:textId="77777777" w:rsidR="00C97993" w:rsidRPr="00C76254" w:rsidRDefault="00C97993" w:rsidP="00C97993">
      <w:pPr>
        <w:pStyle w:val="ListParagraph"/>
        <w:numPr>
          <w:ilvl w:val="1"/>
          <w:numId w:val="2"/>
        </w:numPr>
      </w:pPr>
      <w:r>
        <w:t>Remove any humidification setup – either integral or separate.</w:t>
      </w:r>
    </w:p>
    <w:p w14:paraId="73D62CF1" w14:textId="77777777" w:rsidR="00C76254" w:rsidRDefault="00C76254" w:rsidP="00C76254">
      <w:pPr>
        <w:pStyle w:val="ListParagraph"/>
        <w:jc w:val="both"/>
      </w:pPr>
    </w:p>
    <w:p w14:paraId="7A87097E" w14:textId="77777777" w:rsidR="00C76254" w:rsidRDefault="00C76254" w:rsidP="00C76254">
      <w:pPr>
        <w:pStyle w:val="ListParagraph"/>
        <w:jc w:val="both"/>
      </w:pPr>
    </w:p>
    <w:p w14:paraId="29840F00" w14:textId="77777777" w:rsidR="00C76254" w:rsidRDefault="00C76254" w:rsidP="00C76254">
      <w:pPr>
        <w:pStyle w:val="ListParagraph"/>
        <w:jc w:val="both"/>
      </w:pPr>
    </w:p>
    <w:p w14:paraId="4A403FF3" w14:textId="77777777" w:rsidR="00C76254" w:rsidRPr="000862E4" w:rsidRDefault="000862E4" w:rsidP="000862E4">
      <w:pPr>
        <w:pStyle w:val="ListParagraph"/>
        <w:ind w:left="0"/>
        <w:jc w:val="both"/>
        <w:rPr>
          <w:b/>
        </w:rPr>
      </w:pPr>
      <w:r w:rsidRPr="000862E4">
        <w:rPr>
          <w:b/>
        </w:rPr>
        <w:t>Any NIV/CPAP, including that used in ED, must only be provided in a side room with recommended PPE</w:t>
      </w:r>
      <w:r w:rsidR="007B14F2">
        <w:rPr>
          <w:b/>
        </w:rPr>
        <w:t xml:space="preserve"> (for aerosol generating procedures)</w:t>
      </w:r>
      <w:r w:rsidRPr="000862E4">
        <w:rPr>
          <w:b/>
        </w:rPr>
        <w:t xml:space="preserve"> until such time that the patient is confirmed COVID negative.</w:t>
      </w:r>
    </w:p>
    <w:p w14:paraId="1DE23C06" w14:textId="77777777" w:rsidR="00C76254" w:rsidRDefault="00C76254" w:rsidP="00C76254">
      <w:pPr>
        <w:pStyle w:val="ListParagraph"/>
        <w:jc w:val="both"/>
      </w:pPr>
    </w:p>
    <w:p w14:paraId="0B25777E" w14:textId="77777777" w:rsidR="00C76254" w:rsidRDefault="00C76254" w:rsidP="00C76254">
      <w:pPr>
        <w:pStyle w:val="ListParagraph"/>
        <w:jc w:val="both"/>
      </w:pPr>
    </w:p>
    <w:p w14:paraId="3765D0ED" w14:textId="77777777" w:rsidR="00C76254" w:rsidRDefault="008A541B" w:rsidP="00C76254">
      <w:pPr>
        <w:pStyle w:val="ListParagraph"/>
        <w:ind w:left="0"/>
        <w:jc w:val="both"/>
      </w:pPr>
      <w:r>
        <w:t>SJT V13</w:t>
      </w:r>
      <w:r w:rsidR="00A71A91">
        <w:t xml:space="preserve"> Dec 2021</w:t>
      </w:r>
    </w:p>
    <w:p w14:paraId="580CD7C2" w14:textId="77777777" w:rsidR="000862E4" w:rsidRDefault="000862E4" w:rsidP="00C76254">
      <w:pPr>
        <w:pStyle w:val="ListParagraph"/>
        <w:ind w:left="0"/>
        <w:jc w:val="both"/>
      </w:pPr>
    </w:p>
    <w:p w14:paraId="7FBE0823" w14:textId="77777777" w:rsidR="00C76254" w:rsidRDefault="00C76254" w:rsidP="00C76254">
      <w:pPr>
        <w:jc w:val="center"/>
      </w:pPr>
    </w:p>
    <w:sectPr w:rsidR="00C76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F40A0"/>
    <w:multiLevelType w:val="hybridMultilevel"/>
    <w:tmpl w:val="D63EB7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EDE62CC"/>
    <w:multiLevelType w:val="hybridMultilevel"/>
    <w:tmpl w:val="C41A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8BE"/>
    <w:rsid w:val="000862E4"/>
    <w:rsid w:val="00106645"/>
    <w:rsid w:val="00127255"/>
    <w:rsid w:val="00143DA1"/>
    <w:rsid w:val="001E00AE"/>
    <w:rsid w:val="002E0894"/>
    <w:rsid w:val="003731E9"/>
    <w:rsid w:val="00377741"/>
    <w:rsid w:val="003E3DDE"/>
    <w:rsid w:val="00457B20"/>
    <w:rsid w:val="00664391"/>
    <w:rsid w:val="0068631A"/>
    <w:rsid w:val="007828BE"/>
    <w:rsid w:val="007B14F2"/>
    <w:rsid w:val="00801F8A"/>
    <w:rsid w:val="008A541B"/>
    <w:rsid w:val="008D29AB"/>
    <w:rsid w:val="008E1906"/>
    <w:rsid w:val="00A71A91"/>
    <w:rsid w:val="00BE391E"/>
    <w:rsid w:val="00C63BED"/>
    <w:rsid w:val="00C76254"/>
    <w:rsid w:val="00C97993"/>
    <w:rsid w:val="00D27C79"/>
    <w:rsid w:val="00D7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4620"/>
  <w15:docId w15:val="{D5CAC17F-9D0B-4DE7-862E-10022F70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3040F0-FF1A-4E40-938E-E28718B5CAE8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3E812E0-D41E-4B4F-84B3-D8ECE1D64EF0}">
      <dgm:prSet phldrT="[Text]"/>
      <dgm:spPr/>
      <dgm:t>
        <a:bodyPr/>
        <a:lstStyle/>
        <a:p>
          <a:r>
            <a:rPr lang="en-GB"/>
            <a:t>COVID +VE</a:t>
          </a:r>
        </a:p>
      </dgm:t>
    </dgm:pt>
    <dgm:pt modelId="{9287B4DD-9D49-451F-B859-7BCC1232173B}" type="parTrans" cxnId="{B7D07794-7723-4D1F-B1D7-4DE412BF5C7B}">
      <dgm:prSet/>
      <dgm:spPr/>
      <dgm:t>
        <a:bodyPr/>
        <a:lstStyle/>
        <a:p>
          <a:endParaRPr lang="en-GB"/>
        </a:p>
      </dgm:t>
    </dgm:pt>
    <dgm:pt modelId="{CB9B493E-AC93-4E5E-9CF3-4DF5789D39CE}" type="sibTrans" cxnId="{B7D07794-7723-4D1F-B1D7-4DE412BF5C7B}">
      <dgm:prSet/>
      <dgm:spPr/>
      <dgm:t>
        <a:bodyPr/>
        <a:lstStyle/>
        <a:p>
          <a:endParaRPr lang="en-GB"/>
        </a:p>
      </dgm:t>
    </dgm:pt>
    <dgm:pt modelId="{938D17A5-3070-4FC0-B9F4-9A4BFD44D15A}">
      <dgm:prSet phldrT="[Text]" custT="1"/>
      <dgm:spPr/>
      <dgm:t>
        <a:bodyPr/>
        <a:lstStyle/>
        <a:p>
          <a:r>
            <a:rPr lang="en-GB" sz="1000" baseline="0"/>
            <a:t>If continues to clinically deteriorate and/or acidosis does not completely reverse, with a fall in PaCO2, within  24 hours NIV will be WITHDRAWN.</a:t>
          </a:r>
        </a:p>
      </dgm:t>
    </dgm:pt>
    <dgm:pt modelId="{720A5C98-C812-4C92-A1BE-6EB499D408F2}" type="parTrans" cxnId="{FB552A40-8778-4D5E-BF44-8CE3CACF9F13}">
      <dgm:prSet/>
      <dgm:spPr/>
      <dgm:t>
        <a:bodyPr/>
        <a:lstStyle/>
        <a:p>
          <a:endParaRPr lang="en-GB"/>
        </a:p>
      </dgm:t>
    </dgm:pt>
    <dgm:pt modelId="{15956556-182F-4FF6-A7DC-BFF56CC55112}" type="sibTrans" cxnId="{FB552A40-8778-4D5E-BF44-8CE3CACF9F13}">
      <dgm:prSet/>
      <dgm:spPr/>
      <dgm:t>
        <a:bodyPr/>
        <a:lstStyle/>
        <a:p>
          <a:endParaRPr lang="en-GB"/>
        </a:p>
      </dgm:t>
    </dgm:pt>
    <dgm:pt modelId="{08F84ACB-C8B4-45C1-86FD-55EF6DA00CDA}">
      <dgm:prSet phldrT="[Text]"/>
      <dgm:spPr/>
      <dgm:t>
        <a:bodyPr/>
        <a:lstStyle/>
        <a:p>
          <a:r>
            <a:rPr lang="en-GB"/>
            <a:t>COVID -VE</a:t>
          </a:r>
        </a:p>
      </dgm:t>
    </dgm:pt>
    <dgm:pt modelId="{4ED0BA3E-E3AF-42EC-AB44-F20D51D40850}" type="parTrans" cxnId="{9E14195A-6824-415A-AB0D-B2DEB2D27767}">
      <dgm:prSet/>
      <dgm:spPr/>
      <dgm:t>
        <a:bodyPr/>
        <a:lstStyle/>
        <a:p>
          <a:endParaRPr lang="en-GB"/>
        </a:p>
      </dgm:t>
    </dgm:pt>
    <dgm:pt modelId="{27CFBD90-AE46-421C-BD5B-14A21BB719E4}" type="sibTrans" cxnId="{9E14195A-6824-415A-AB0D-B2DEB2D27767}">
      <dgm:prSet/>
      <dgm:spPr/>
      <dgm:t>
        <a:bodyPr/>
        <a:lstStyle/>
        <a:p>
          <a:endParaRPr lang="en-GB"/>
        </a:p>
      </dgm:t>
    </dgm:pt>
    <dgm:pt modelId="{681C9736-7F66-404E-86E2-58628D71C91F}">
      <dgm:prSet phldrT="[Text]" custT="1"/>
      <dgm:spPr/>
      <dgm:t>
        <a:bodyPr/>
        <a:lstStyle/>
        <a:p>
          <a:r>
            <a:rPr lang="en-GB" sz="1000" baseline="0"/>
            <a:t>NIV will be managed in the usual way.</a:t>
          </a:r>
        </a:p>
      </dgm:t>
    </dgm:pt>
    <dgm:pt modelId="{8E2A9E68-DB44-4FC7-BBEE-4A1615172A91}" type="parTrans" cxnId="{B344F37F-6B7C-459C-AD26-5061E54D4EF3}">
      <dgm:prSet/>
      <dgm:spPr/>
      <dgm:t>
        <a:bodyPr/>
        <a:lstStyle/>
        <a:p>
          <a:endParaRPr lang="en-GB"/>
        </a:p>
      </dgm:t>
    </dgm:pt>
    <dgm:pt modelId="{CD8DAE7B-BF90-4AA9-856F-99DF6434C27B}" type="sibTrans" cxnId="{B344F37F-6B7C-459C-AD26-5061E54D4EF3}">
      <dgm:prSet/>
      <dgm:spPr/>
      <dgm:t>
        <a:bodyPr/>
        <a:lstStyle/>
        <a:p>
          <a:endParaRPr lang="en-GB"/>
        </a:p>
      </dgm:t>
    </dgm:pt>
    <dgm:pt modelId="{F59803C2-62CB-4B65-B2CD-7CD417CD944B}">
      <dgm:prSet phldrT="[Text]" custT="1"/>
      <dgm:spPr/>
      <dgm:t>
        <a:bodyPr/>
        <a:lstStyle/>
        <a:p>
          <a:r>
            <a:rPr lang="en-GB" sz="1000" baseline="0"/>
            <a:t>Patient will be oxygenated with face mask with reservoir bag.</a:t>
          </a:r>
        </a:p>
      </dgm:t>
    </dgm:pt>
    <dgm:pt modelId="{5D5BADC2-05A6-4661-8E72-6A75EA6652FB}" type="parTrans" cxnId="{241D3B00-6BDB-458B-A059-1E8552EF7467}">
      <dgm:prSet/>
      <dgm:spPr/>
    </dgm:pt>
    <dgm:pt modelId="{CDC45632-AD5A-4853-ABB2-33467D51BF05}" type="sibTrans" cxnId="{241D3B00-6BDB-458B-A059-1E8552EF7467}">
      <dgm:prSet/>
      <dgm:spPr/>
    </dgm:pt>
    <dgm:pt modelId="{B334F359-FFBD-4558-89A7-2E5B8883F9F6}">
      <dgm:prSet phldrT="[Text]" custT="1"/>
      <dgm:spPr/>
      <dgm:t>
        <a:bodyPr/>
        <a:lstStyle/>
        <a:p>
          <a:r>
            <a:rPr lang="en-GB" sz="1000" baseline="0"/>
            <a:t>Patient will be palliated.</a:t>
          </a:r>
        </a:p>
      </dgm:t>
    </dgm:pt>
    <dgm:pt modelId="{31D5189E-C76F-4961-BAF5-82DBEA892A0F}" type="parTrans" cxnId="{2FB62488-95CF-43F5-BD38-A44890473763}">
      <dgm:prSet/>
      <dgm:spPr/>
    </dgm:pt>
    <dgm:pt modelId="{CB8F601F-6C48-44ED-AB07-54E9BCC94367}" type="sibTrans" cxnId="{2FB62488-95CF-43F5-BD38-A44890473763}">
      <dgm:prSet/>
      <dgm:spPr/>
    </dgm:pt>
    <dgm:pt modelId="{59BB21D2-2BBF-4AB0-ACF7-1833FF29EEDF}">
      <dgm:prSet phldrT="[Text]" custT="1"/>
      <dgm:spPr/>
      <dgm:t>
        <a:bodyPr/>
        <a:lstStyle/>
        <a:p>
          <a:endParaRPr lang="en-GB" sz="1000" baseline="0"/>
        </a:p>
      </dgm:t>
    </dgm:pt>
    <dgm:pt modelId="{0EB4067D-C37A-4D67-9D31-87BEF8B4DB9C}" type="parTrans" cxnId="{7EE5E36A-21D3-47E2-9175-F78B285A3FA6}">
      <dgm:prSet/>
      <dgm:spPr/>
    </dgm:pt>
    <dgm:pt modelId="{91D44552-5A7D-4FE0-90B6-CB65E48BE053}" type="sibTrans" cxnId="{7EE5E36A-21D3-47E2-9175-F78B285A3FA6}">
      <dgm:prSet/>
      <dgm:spPr/>
    </dgm:pt>
    <dgm:pt modelId="{07DE326B-7C81-4C94-B632-1A76DAFEAF9A}">
      <dgm:prSet phldrT="[Text]" custT="1"/>
      <dgm:spPr/>
      <dgm:t>
        <a:bodyPr/>
        <a:lstStyle/>
        <a:p>
          <a:endParaRPr lang="en-GB" sz="1000" baseline="0"/>
        </a:p>
      </dgm:t>
    </dgm:pt>
    <dgm:pt modelId="{9142F5A0-FF63-42B0-A466-B794A507C737}" type="parTrans" cxnId="{3D88C84B-56E2-4EF9-AF0E-D0CF03010BD6}">
      <dgm:prSet/>
      <dgm:spPr/>
    </dgm:pt>
    <dgm:pt modelId="{273C9137-84B1-4808-B5E1-95E390D9A5AA}" type="sibTrans" cxnId="{3D88C84B-56E2-4EF9-AF0E-D0CF03010BD6}">
      <dgm:prSet/>
      <dgm:spPr/>
    </dgm:pt>
    <dgm:pt modelId="{2A819FC5-60BB-4F91-AC30-DC142457B718}">
      <dgm:prSet phldrT="[Text]" custT="1"/>
      <dgm:spPr/>
      <dgm:t>
        <a:bodyPr/>
        <a:lstStyle/>
        <a:p>
          <a:r>
            <a:rPr lang="en-GB" sz="1000" baseline="0"/>
            <a:t>COVID -VE patients do STILL require enhanced PPE unless they carry an alternive infection risk.</a:t>
          </a:r>
        </a:p>
      </dgm:t>
    </dgm:pt>
    <dgm:pt modelId="{5F86C659-D60A-45CB-A806-33B650CAB6BE}" type="parTrans" cxnId="{5028E713-B649-468A-B98B-DA873A986F43}">
      <dgm:prSet/>
      <dgm:spPr/>
    </dgm:pt>
    <dgm:pt modelId="{227F4871-279E-4BED-B75E-61B382E6FE13}" type="sibTrans" cxnId="{5028E713-B649-468A-B98B-DA873A986F43}">
      <dgm:prSet/>
      <dgm:spPr/>
    </dgm:pt>
    <dgm:pt modelId="{7E69BF60-F450-475D-B3D5-4DDDBB5D2ABD}">
      <dgm:prSet phldrT="[Text]" custT="1"/>
      <dgm:spPr/>
      <dgm:t>
        <a:bodyPr/>
        <a:lstStyle/>
        <a:p>
          <a:endParaRPr lang="en-GB" sz="1000" baseline="0"/>
        </a:p>
      </dgm:t>
    </dgm:pt>
    <dgm:pt modelId="{1AABB359-6CC3-49AF-9D51-3CBD7C7F997A}" type="parTrans" cxnId="{36F3D9EE-A5CA-4691-962A-EDAE3725BFA1}">
      <dgm:prSet/>
      <dgm:spPr/>
    </dgm:pt>
    <dgm:pt modelId="{127F93F1-5485-49DF-BD28-94E44979434F}" type="sibTrans" cxnId="{36F3D9EE-A5CA-4691-962A-EDAE3725BFA1}">
      <dgm:prSet/>
      <dgm:spPr/>
    </dgm:pt>
    <dgm:pt modelId="{07ACFC00-469F-43B4-B794-BFD73B473548}">
      <dgm:prSet phldrT="[Text]" custT="1"/>
      <dgm:spPr/>
      <dgm:t>
        <a:bodyPr/>
        <a:lstStyle/>
        <a:p>
          <a:endParaRPr lang="en-GB" sz="1000" baseline="0"/>
        </a:p>
      </dgm:t>
    </dgm:pt>
    <dgm:pt modelId="{44392FF0-28C2-442A-8242-9CB0408B6C06}" type="parTrans" cxnId="{D91BA0BE-E779-45D2-84E9-2BB2CB51F5EB}">
      <dgm:prSet/>
      <dgm:spPr/>
    </dgm:pt>
    <dgm:pt modelId="{51B1692C-3DB3-4518-B296-F9E0A0E28C51}" type="sibTrans" cxnId="{D91BA0BE-E779-45D2-84E9-2BB2CB51F5EB}">
      <dgm:prSet/>
      <dgm:spPr/>
    </dgm:pt>
    <dgm:pt modelId="{F723ACE0-1089-4483-A349-CD35C2C0F00E}">
      <dgm:prSet phldrT="[Text]" custT="1"/>
      <dgm:spPr/>
      <dgm:t>
        <a:bodyPr/>
        <a:lstStyle/>
        <a:p>
          <a:r>
            <a:rPr lang="en-GB" sz="1000" baseline="0"/>
            <a:t>Appropriate enahnced PPE to be used.</a:t>
          </a:r>
        </a:p>
      </dgm:t>
    </dgm:pt>
    <dgm:pt modelId="{FC521C32-8AAC-4CC9-AE4A-A119A5645206}" type="parTrans" cxnId="{7ACAE61A-DDAF-4E0B-956C-D6BF080CB84E}">
      <dgm:prSet/>
      <dgm:spPr/>
    </dgm:pt>
    <dgm:pt modelId="{BB70C310-B824-460D-9413-EA2DAADB1699}" type="sibTrans" cxnId="{7ACAE61A-DDAF-4E0B-956C-D6BF080CB84E}">
      <dgm:prSet/>
      <dgm:spPr/>
    </dgm:pt>
    <dgm:pt modelId="{3C77CA88-334D-43FB-BE82-D1738A2C1E37}">
      <dgm:prSet phldrT="[Text]" custT="1"/>
      <dgm:spPr/>
      <dgm:t>
        <a:bodyPr/>
        <a:lstStyle/>
        <a:p>
          <a:r>
            <a:rPr lang="en-GB" sz="1000" baseline="0"/>
            <a:t>NIV will be weaned in the usual way converting to oxygen via a conventional face mask.</a:t>
          </a:r>
        </a:p>
      </dgm:t>
    </dgm:pt>
    <dgm:pt modelId="{09C76D9F-687C-48FF-ABCF-7ACC7D639C33}" type="parTrans" cxnId="{F3979013-C6D0-4F31-A1E9-D7128391D058}">
      <dgm:prSet/>
      <dgm:spPr/>
    </dgm:pt>
    <dgm:pt modelId="{76C4D77E-CB06-4EF0-B862-00AC3B850E18}" type="sibTrans" cxnId="{F3979013-C6D0-4F31-A1E9-D7128391D058}">
      <dgm:prSet/>
      <dgm:spPr/>
    </dgm:pt>
    <dgm:pt modelId="{EFC42A17-CF41-41E2-BFCD-E994B0E70C0A}">
      <dgm:prSet phldrT="[Text]" custT="1"/>
      <dgm:spPr/>
      <dgm:t>
        <a:bodyPr/>
        <a:lstStyle/>
        <a:p>
          <a:endParaRPr lang="en-GB" sz="1000" baseline="0"/>
        </a:p>
      </dgm:t>
    </dgm:pt>
    <dgm:pt modelId="{668633DF-192A-4386-9718-2AB3699BE373}" type="parTrans" cxnId="{90741615-4181-40F2-AC76-FA082CE1FB5A}">
      <dgm:prSet/>
      <dgm:spPr/>
    </dgm:pt>
    <dgm:pt modelId="{09448CD0-370F-4963-8C26-3C34613E6DC1}" type="sibTrans" cxnId="{90741615-4181-40F2-AC76-FA082CE1FB5A}">
      <dgm:prSet/>
      <dgm:spPr/>
    </dgm:pt>
    <dgm:pt modelId="{EE78BCE5-D49E-42FB-A16E-E17546F6D746}" type="pres">
      <dgm:prSet presAssocID="{1E3040F0-FF1A-4E40-938E-E28718B5CAE8}" presName="linearFlow" presStyleCnt="0">
        <dgm:presLayoutVars>
          <dgm:dir/>
          <dgm:animLvl val="lvl"/>
          <dgm:resizeHandles/>
        </dgm:presLayoutVars>
      </dgm:prSet>
      <dgm:spPr/>
    </dgm:pt>
    <dgm:pt modelId="{8BACC892-EE1C-491E-93E6-475BD52836AF}" type="pres">
      <dgm:prSet presAssocID="{73E812E0-D41E-4B4F-84B3-D8ECE1D64EF0}" presName="compositeNode" presStyleCnt="0">
        <dgm:presLayoutVars>
          <dgm:bulletEnabled val="1"/>
        </dgm:presLayoutVars>
      </dgm:prSet>
      <dgm:spPr/>
    </dgm:pt>
    <dgm:pt modelId="{7322ECBA-4852-4106-B32B-4378092A7943}" type="pres">
      <dgm:prSet presAssocID="{73E812E0-D41E-4B4F-84B3-D8ECE1D64EF0}" presName="image" presStyleLbl="fgImgPlace1" presStyleIdx="0" presStyleCnt="2"/>
      <dgm:spPr>
        <a:blipFill rotWithShape="1">
          <a:blip xmlns:r="http://schemas.openxmlformats.org/officeDocument/2006/relationships" r:embed="rId1"/>
          <a:srcRect/>
          <a:stretch>
            <a:fillRect l="-34000" r="-34000"/>
          </a:stretch>
        </a:blipFill>
      </dgm:spPr>
    </dgm:pt>
    <dgm:pt modelId="{83A7EFB6-5746-4603-AABD-EC004063FE5C}" type="pres">
      <dgm:prSet presAssocID="{73E812E0-D41E-4B4F-84B3-D8ECE1D64EF0}" presName="childNode" presStyleLbl="node1" presStyleIdx="0" presStyleCnt="2">
        <dgm:presLayoutVars>
          <dgm:bulletEnabled val="1"/>
        </dgm:presLayoutVars>
      </dgm:prSet>
      <dgm:spPr/>
    </dgm:pt>
    <dgm:pt modelId="{5101E306-08E4-47BA-8CE6-9C330A15972E}" type="pres">
      <dgm:prSet presAssocID="{73E812E0-D41E-4B4F-84B3-D8ECE1D64EF0}" presName="parentNode" presStyleLbl="revTx" presStyleIdx="0" presStyleCnt="2">
        <dgm:presLayoutVars>
          <dgm:chMax val="0"/>
          <dgm:bulletEnabled val="1"/>
        </dgm:presLayoutVars>
      </dgm:prSet>
      <dgm:spPr/>
    </dgm:pt>
    <dgm:pt modelId="{EEE881B9-82D6-4022-869B-301015F83420}" type="pres">
      <dgm:prSet presAssocID="{CB9B493E-AC93-4E5E-9CF3-4DF5789D39CE}" presName="sibTrans" presStyleCnt="0"/>
      <dgm:spPr/>
    </dgm:pt>
    <dgm:pt modelId="{5A509E67-079D-42C4-B901-5F59BAC0524D}" type="pres">
      <dgm:prSet presAssocID="{08F84ACB-C8B4-45C1-86FD-55EF6DA00CDA}" presName="compositeNode" presStyleCnt="0">
        <dgm:presLayoutVars>
          <dgm:bulletEnabled val="1"/>
        </dgm:presLayoutVars>
      </dgm:prSet>
      <dgm:spPr/>
    </dgm:pt>
    <dgm:pt modelId="{B9008D4D-7BDB-4C8E-B373-08B3B60299B1}" type="pres">
      <dgm:prSet presAssocID="{08F84ACB-C8B4-45C1-86FD-55EF6DA00CDA}" presName="image" presStyleLbl="fgImgPlace1" presStyleIdx="1" presStyleCnt="2"/>
      <dgm:spPr>
        <a:blipFill rotWithShape="1">
          <a:blip xmlns:r="http://schemas.openxmlformats.org/officeDocument/2006/relationships" r:embed="rId2"/>
          <a:srcRect/>
          <a:stretch>
            <a:fillRect l="-25000" r="-25000"/>
          </a:stretch>
        </a:blipFill>
      </dgm:spPr>
    </dgm:pt>
    <dgm:pt modelId="{79AF5D39-F0BF-4A7F-A6DE-FE570DEC5122}" type="pres">
      <dgm:prSet presAssocID="{08F84ACB-C8B4-45C1-86FD-55EF6DA00CDA}" presName="childNode" presStyleLbl="node1" presStyleIdx="1" presStyleCnt="2">
        <dgm:presLayoutVars>
          <dgm:bulletEnabled val="1"/>
        </dgm:presLayoutVars>
      </dgm:prSet>
      <dgm:spPr/>
    </dgm:pt>
    <dgm:pt modelId="{53C284DE-76F3-46FA-AF5C-766ED202B126}" type="pres">
      <dgm:prSet presAssocID="{08F84ACB-C8B4-45C1-86FD-55EF6DA00CDA}" presName="parentNode" presStyleLbl="revTx" presStyleIdx="1" presStyleCnt="2">
        <dgm:presLayoutVars>
          <dgm:chMax val="0"/>
          <dgm:bulletEnabled val="1"/>
        </dgm:presLayoutVars>
      </dgm:prSet>
      <dgm:spPr/>
    </dgm:pt>
  </dgm:ptLst>
  <dgm:cxnLst>
    <dgm:cxn modelId="{241D3B00-6BDB-458B-A059-1E8552EF7467}" srcId="{73E812E0-D41E-4B4F-84B3-D8ECE1D64EF0}" destId="{F59803C2-62CB-4B65-B2CD-7CD417CD944B}" srcOrd="4" destOrd="0" parTransId="{5D5BADC2-05A6-4661-8E72-6A75EA6652FB}" sibTransId="{CDC45632-AD5A-4853-ABB2-33467D51BF05}"/>
    <dgm:cxn modelId="{F3979013-C6D0-4F31-A1E9-D7128391D058}" srcId="{08F84ACB-C8B4-45C1-86FD-55EF6DA00CDA}" destId="{3C77CA88-334D-43FB-BE82-D1738A2C1E37}" srcOrd="4" destOrd="0" parTransId="{09C76D9F-687C-48FF-ABCF-7ACC7D639C33}" sibTransId="{76C4D77E-CB06-4EF0-B862-00AC3B850E18}"/>
    <dgm:cxn modelId="{5028E713-B649-468A-B98B-DA873A986F43}" srcId="{08F84ACB-C8B4-45C1-86FD-55EF6DA00CDA}" destId="{2A819FC5-60BB-4F91-AC30-DC142457B718}" srcOrd="2" destOrd="0" parTransId="{5F86C659-D60A-45CB-A806-33B650CAB6BE}" sibTransId="{227F4871-279E-4BED-B75E-61B382E6FE13}"/>
    <dgm:cxn modelId="{A6311A14-A7C6-457B-8607-EACF2150B907}" type="presOf" srcId="{2A819FC5-60BB-4F91-AC30-DC142457B718}" destId="{79AF5D39-F0BF-4A7F-A6DE-FE570DEC5122}" srcOrd="0" destOrd="2" presId="urn:microsoft.com/office/officeart/2005/8/layout/hList2"/>
    <dgm:cxn modelId="{F9DAB014-A5CB-464C-B4F6-D65849400481}" type="presOf" srcId="{07ACFC00-469F-43B4-B794-BFD73B473548}" destId="{83A7EFB6-5746-4603-AABD-EC004063FE5C}" srcOrd="0" destOrd="1" presId="urn:microsoft.com/office/officeart/2005/8/layout/hList2"/>
    <dgm:cxn modelId="{90741615-4181-40F2-AC76-FA082CE1FB5A}" srcId="{08F84ACB-C8B4-45C1-86FD-55EF6DA00CDA}" destId="{EFC42A17-CF41-41E2-BFCD-E994B0E70C0A}" srcOrd="3" destOrd="0" parTransId="{668633DF-192A-4386-9718-2AB3699BE373}" sibTransId="{09448CD0-370F-4963-8C26-3C34613E6DC1}"/>
    <dgm:cxn modelId="{7ACAE61A-DDAF-4E0B-956C-D6BF080CB84E}" srcId="{73E812E0-D41E-4B4F-84B3-D8ECE1D64EF0}" destId="{F723ACE0-1089-4483-A349-CD35C2C0F00E}" srcOrd="0" destOrd="0" parTransId="{FC521C32-8AAC-4CC9-AE4A-A119A5645206}" sibTransId="{BB70C310-B824-460D-9413-EA2DAADB1699}"/>
    <dgm:cxn modelId="{778AA01B-F4CC-4683-8B07-36B0016AA1FC}" type="presOf" srcId="{EFC42A17-CF41-41E2-BFCD-E994B0E70C0A}" destId="{79AF5D39-F0BF-4A7F-A6DE-FE570DEC5122}" srcOrd="0" destOrd="3" presId="urn:microsoft.com/office/officeart/2005/8/layout/hList2"/>
    <dgm:cxn modelId="{4E35203F-E1A8-41CB-A878-363C542C66AC}" type="presOf" srcId="{3C77CA88-334D-43FB-BE82-D1738A2C1E37}" destId="{79AF5D39-F0BF-4A7F-A6DE-FE570DEC5122}" srcOrd="0" destOrd="4" presId="urn:microsoft.com/office/officeart/2005/8/layout/hList2"/>
    <dgm:cxn modelId="{FB552A40-8778-4D5E-BF44-8CE3CACF9F13}" srcId="{73E812E0-D41E-4B4F-84B3-D8ECE1D64EF0}" destId="{938D17A5-3070-4FC0-B9F4-9A4BFD44D15A}" srcOrd="2" destOrd="0" parTransId="{720A5C98-C812-4C92-A1BE-6EB499D408F2}" sibTransId="{15956556-182F-4FF6-A7DC-BFF56CC55112}"/>
    <dgm:cxn modelId="{14276664-CABE-412B-A42D-DB364D37280F}" type="presOf" srcId="{73E812E0-D41E-4B4F-84B3-D8ECE1D64EF0}" destId="{5101E306-08E4-47BA-8CE6-9C330A15972E}" srcOrd="0" destOrd="0" presId="urn:microsoft.com/office/officeart/2005/8/layout/hList2"/>
    <dgm:cxn modelId="{41B96A44-9725-4A69-B873-BBD73A8FEF7F}" type="presOf" srcId="{938D17A5-3070-4FC0-B9F4-9A4BFD44D15A}" destId="{83A7EFB6-5746-4603-AABD-EC004063FE5C}" srcOrd="0" destOrd="2" presId="urn:microsoft.com/office/officeart/2005/8/layout/hList2"/>
    <dgm:cxn modelId="{E0DB1E65-88EA-4327-9D7C-C2D940AE7AA7}" type="presOf" srcId="{7E69BF60-F450-475D-B3D5-4DDDBB5D2ABD}" destId="{79AF5D39-F0BF-4A7F-A6DE-FE570DEC5122}" srcOrd="0" destOrd="1" presId="urn:microsoft.com/office/officeart/2005/8/layout/hList2"/>
    <dgm:cxn modelId="{56B80469-DBF1-4008-A9FE-A88C0092C244}" type="presOf" srcId="{F59803C2-62CB-4B65-B2CD-7CD417CD944B}" destId="{83A7EFB6-5746-4603-AABD-EC004063FE5C}" srcOrd="0" destOrd="4" presId="urn:microsoft.com/office/officeart/2005/8/layout/hList2"/>
    <dgm:cxn modelId="{7EE5E36A-21D3-47E2-9175-F78B285A3FA6}" srcId="{73E812E0-D41E-4B4F-84B3-D8ECE1D64EF0}" destId="{59BB21D2-2BBF-4AB0-ACF7-1833FF29EEDF}" srcOrd="3" destOrd="0" parTransId="{0EB4067D-C37A-4D67-9D31-87BEF8B4DB9C}" sibTransId="{91D44552-5A7D-4FE0-90B6-CB65E48BE053}"/>
    <dgm:cxn modelId="{3D88C84B-56E2-4EF9-AF0E-D0CF03010BD6}" srcId="{73E812E0-D41E-4B4F-84B3-D8ECE1D64EF0}" destId="{07DE326B-7C81-4C94-B632-1A76DAFEAF9A}" srcOrd="5" destOrd="0" parTransId="{9142F5A0-FF63-42B0-A466-B794A507C737}" sibTransId="{273C9137-84B1-4808-B5E1-95E390D9A5AA}"/>
    <dgm:cxn modelId="{63012573-8F33-492F-8DE3-F88FCCFF7708}" type="presOf" srcId="{08F84ACB-C8B4-45C1-86FD-55EF6DA00CDA}" destId="{53C284DE-76F3-46FA-AF5C-766ED202B126}" srcOrd="0" destOrd="0" presId="urn:microsoft.com/office/officeart/2005/8/layout/hList2"/>
    <dgm:cxn modelId="{A4497955-3950-46A4-9C2D-CCB253F16360}" type="presOf" srcId="{1E3040F0-FF1A-4E40-938E-E28718B5CAE8}" destId="{EE78BCE5-D49E-42FB-A16E-E17546F6D746}" srcOrd="0" destOrd="0" presId="urn:microsoft.com/office/officeart/2005/8/layout/hList2"/>
    <dgm:cxn modelId="{9E14195A-6824-415A-AB0D-B2DEB2D27767}" srcId="{1E3040F0-FF1A-4E40-938E-E28718B5CAE8}" destId="{08F84ACB-C8B4-45C1-86FD-55EF6DA00CDA}" srcOrd="1" destOrd="0" parTransId="{4ED0BA3E-E3AF-42EC-AB44-F20D51D40850}" sibTransId="{27CFBD90-AE46-421C-BD5B-14A21BB719E4}"/>
    <dgm:cxn modelId="{B344F37F-6B7C-459C-AD26-5061E54D4EF3}" srcId="{08F84ACB-C8B4-45C1-86FD-55EF6DA00CDA}" destId="{681C9736-7F66-404E-86E2-58628D71C91F}" srcOrd="0" destOrd="0" parTransId="{8E2A9E68-DB44-4FC7-BBEE-4A1615172A91}" sibTransId="{CD8DAE7B-BF90-4AA9-856F-99DF6434C27B}"/>
    <dgm:cxn modelId="{2FB62488-95CF-43F5-BD38-A44890473763}" srcId="{73E812E0-D41E-4B4F-84B3-D8ECE1D64EF0}" destId="{B334F359-FFBD-4558-89A7-2E5B8883F9F6}" srcOrd="6" destOrd="0" parTransId="{31D5189E-C76F-4961-BAF5-82DBEA892A0F}" sibTransId="{CB8F601F-6C48-44ED-AB07-54E9BCC94367}"/>
    <dgm:cxn modelId="{82D5D489-08B6-4D5E-961C-176006FB6A05}" type="presOf" srcId="{07DE326B-7C81-4C94-B632-1A76DAFEAF9A}" destId="{83A7EFB6-5746-4603-AABD-EC004063FE5C}" srcOrd="0" destOrd="5" presId="urn:microsoft.com/office/officeart/2005/8/layout/hList2"/>
    <dgm:cxn modelId="{B7D07794-7723-4D1F-B1D7-4DE412BF5C7B}" srcId="{1E3040F0-FF1A-4E40-938E-E28718B5CAE8}" destId="{73E812E0-D41E-4B4F-84B3-D8ECE1D64EF0}" srcOrd="0" destOrd="0" parTransId="{9287B4DD-9D49-451F-B859-7BCC1232173B}" sibTransId="{CB9B493E-AC93-4E5E-9CF3-4DF5789D39CE}"/>
    <dgm:cxn modelId="{5653ACA9-74FB-4C4A-AFE6-CE2099711B7A}" type="presOf" srcId="{59BB21D2-2BBF-4AB0-ACF7-1833FF29EEDF}" destId="{83A7EFB6-5746-4603-AABD-EC004063FE5C}" srcOrd="0" destOrd="3" presId="urn:microsoft.com/office/officeart/2005/8/layout/hList2"/>
    <dgm:cxn modelId="{8E1B9DB1-D494-4461-8952-4708AD03953F}" type="presOf" srcId="{681C9736-7F66-404E-86E2-58628D71C91F}" destId="{79AF5D39-F0BF-4A7F-A6DE-FE570DEC5122}" srcOrd="0" destOrd="0" presId="urn:microsoft.com/office/officeart/2005/8/layout/hList2"/>
    <dgm:cxn modelId="{D91BA0BE-E779-45D2-84E9-2BB2CB51F5EB}" srcId="{73E812E0-D41E-4B4F-84B3-D8ECE1D64EF0}" destId="{07ACFC00-469F-43B4-B794-BFD73B473548}" srcOrd="1" destOrd="0" parTransId="{44392FF0-28C2-442A-8242-9CB0408B6C06}" sibTransId="{51B1692C-3DB3-4518-B296-F9E0A0E28C51}"/>
    <dgm:cxn modelId="{20826CC1-9913-453D-9552-B8FCB12DADD2}" type="presOf" srcId="{F723ACE0-1089-4483-A349-CD35C2C0F00E}" destId="{83A7EFB6-5746-4603-AABD-EC004063FE5C}" srcOrd="0" destOrd="0" presId="urn:microsoft.com/office/officeart/2005/8/layout/hList2"/>
    <dgm:cxn modelId="{8C7A88EA-6E00-4F13-A23A-E9D58F49A18F}" type="presOf" srcId="{B334F359-FFBD-4558-89A7-2E5B8883F9F6}" destId="{83A7EFB6-5746-4603-AABD-EC004063FE5C}" srcOrd="0" destOrd="6" presId="urn:microsoft.com/office/officeart/2005/8/layout/hList2"/>
    <dgm:cxn modelId="{36F3D9EE-A5CA-4691-962A-EDAE3725BFA1}" srcId="{08F84ACB-C8B4-45C1-86FD-55EF6DA00CDA}" destId="{7E69BF60-F450-475D-B3D5-4DDDBB5D2ABD}" srcOrd="1" destOrd="0" parTransId="{1AABB359-6CC3-49AF-9D51-3CBD7C7F997A}" sibTransId="{127F93F1-5485-49DF-BD28-94E44979434F}"/>
    <dgm:cxn modelId="{AFB2D5FA-DB37-434B-8418-FA3748B4C2C5}" type="presParOf" srcId="{EE78BCE5-D49E-42FB-A16E-E17546F6D746}" destId="{8BACC892-EE1C-491E-93E6-475BD52836AF}" srcOrd="0" destOrd="0" presId="urn:microsoft.com/office/officeart/2005/8/layout/hList2"/>
    <dgm:cxn modelId="{C6EC9296-796F-44C2-AEF2-718014DAF842}" type="presParOf" srcId="{8BACC892-EE1C-491E-93E6-475BD52836AF}" destId="{7322ECBA-4852-4106-B32B-4378092A7943}" srcOrd="0" destOrd="0" presId="urn:microsoft.com/office/officeart/2005/8/layout/hList2"/>
    <dgm:cxn modelId="{7A7A5DF4-67B4-46CE-B03B-BAD9AA47B8E4}" type="presParOf" srcId="{8BACC892-EE1C-491E-93E6-475BD52836AF}" destId="{83A7EFB6-5746-4603-AABD-EC004063FE5C}" srcOrd="1" destOrd="0" presId="urn:microsoft.com/office/officeart/2005/8/layout/hList2"/>
    <dgm:cxn modelId="{DF7B34BE-69B8-41EC-AE64-9B019BC362C6}" type="presParOf" srcId="{8BACC892-EE1C-491E-93E6-475BD52836AF}" destId="{5101E306-08E4-47BA-8CE6-9C330A15972E}" srcOrd="2" destOrd="0" presId="urn:microsoft.com/office/officeart/2005/8/layout/hList2"/>
    <dgm:cxn modelId="{D0C6F643-5BD4-4288-81EB-F70E86CEDD27}" type="presParOf" srcId="{EE78BCE5-D49E-42FB-A16E-E17546F6D746}" destId="{EEE881B9-82D6-4022-869B-301015F83420}" srcOrd="1" destOrd="0" presId="urn:microsoft.com/office/officeart/2005/8/layout/hList2"/>
    <dgm:cxn modelId="{70329C83-1453-4D41-92E4-2DF8B6BD8BFA}" type="presParOf" srcId="{EE78BCE5-D49E-42FB-A16E-E17546F6D746}" destId="{5A509E67-079D-42C4-B901-5F59BAC0524D}" srcOrd="2" destOrd="0" presId="urn:microsoft.com/office/officeart/2005/8/layout/hList2"/>
    <dgm:cxn modelId="{5F4A9668-10A0-4D40-838E-03AA29DB5DF0}" type="presParOf" srcId="{5A509E67-079D-42C4-B901-5F59BAC0524D}" destId="{B9008D4D-7BDB-4C8E-B373-08B3B60299B1}" srcOrd="0" destOrd="0" presId="urn:microsoft.com/office/officeart/2005/8/layout/hList2"/>
    <dgm:cxn modelId="{1A4F7B84-16E1-4B21-97FC-00FF434B2978}" type="presParOf" srcId="{5A509E67-079D-42C4-B901-5F59BAC0524D}" destId="{79AF5D39-F0BF-4A7F-A6DE-FE570DEC5122}" srcOrd="1" destOrd="0" presId="urn:microsoft.com/office/officeart/2005/8/layout/hList2"/>
    <dgm:cxn modelId="{FB80C2E2-0ADD-409C-B15B-381AF1115B2B}" type="presParOf" srcId="{5A509E67-079D-42C4-B901-5F59BAC0524D}" destId="{53C284DE-76F3-46FA-AF5C-766ED202B126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01E306-08E4-47BA-8CE6-9C330A15972E}">
      <dsp:nvSpPr>
        <dsp:cNvPr id="0" name=""/>
        <dsp:cNvSpPr/>
      </dsp:nvSpPr>
      <dsp:spPr>
        <a:xfrm rot="16200000">
          <a:off x="-1009031" y="1665649"/>
          <a:ext cx="2496312" cy="4090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360768" bIns="0" numCol="1" spcCol="1270" anchor="t" anchorCtr="0">
          <a:noAutofit/>
        </a:bodyPr>
        <a:lstStyle/>
        <a:p>
          <a:pPr marL="0" lvl="0" indent="0" algn="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900" kern="1200"/>
            <a:t>COVID +VE</a:t>
          </a:r>
        </a:p>
      </dsp:txBody>
      <dsp:txXfrm>
        <a:off x="-1009031" y="1665649"/>
        <a:ext cx="2496312" cy="409059"/>
      </dsp:txXfrm>
    </dsp:sp>
    <dsp:sp modelId="{83A7EFB6-5746-4603-AABD-EC004063FE5C}">
      <dsp:nvSpPr>
        <dsp:cNvPr id="0" name=""/>
        <dsp:cNvSpPr/>
      </dsp:nvSpPr>
      <dsp:spPr>
        <a:xfrm>
          <a:off x="443654" y="622023"/>
          <a:ext cx="2037548" cy="24963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360768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baseline="0"/>
            <a:t>Appropriate enahnced PPE to be used.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kern="1200" baseline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baseline="0"/>
            <a:t>If continues to clinically deteriorate and/or acidosis does not completely reverse, with a fall in PaCO2, within  24 hours NIV will be WITHDRAWN.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kern="1200" baseline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baseline="0"/>
            <a:t>Patient will be oxygenated with face mask with reservoir bag.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kern="1200" baseline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baseline="0"/>
            <a:t>Patient will be palliated.</a:t>
          </a:r>
        </a:p>
      </dsp:txBody>
      <dsp:txXfrm>
        <a:off x="443654" y="622023"/>
        <a:ext cx="2037548" cy="2496312"/>
      </dsp:txXfrm>
    </dsp:sp>
    <dsp:sp modelId="{7322ECBA-4852-4106-B32B-4378092A7943}">
      <dsp:nvSpPr>
        <dsp:cNvPr id="0" name=""/>
        <dsp:cNvSpPr/>
      </dsp:nvSpPr>
      <dsp:spPr>
        <a:xfrm>
          <a:off x="34594" y="82064"/>
          <a:ext cx="818118" cy="818118"/>
        </a:xfrm>
        <a:prstGeom prst="rect">
          <a:avLst/>
        </a:prstGeom>
        <a:blipFill rotWithShape="1">
          <a:blip xmlns:r="http://schemas.openxmlformats.org/officeDocument/2006/relationships" r:embed="rId1"/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C284DE-76F3-46FA-AF5C-766ED202B126}">
      <dsp:nvSpPr>
        <dsp:cNvPr id="0" name=""/>
        <dsp:cNvSpPr/>
      </dsp:nvSpPr>
      <dsp:spPr>
        <a:xfrm rot="16200000">
          <a:off x="1961570" y="1665649"/>
          <a:ext cx="2496312" cy="4090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360768" bIns="0" numCol="1" spcCol="1270" anchor="t" anchorCtr="0">
          <a:noAutofit/>
        </a:bodyPr>
        <a:lstStyle/>
        <a:p>
          <a:pPr marL="0" lvl="0" indent="0" algn="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900" kern="1200"/>
            <a:t>COVID -VE</a:t>
          </a:r>
        </a:p>
      </dsp:txBody>
      <dsp:txXfrm>
        <a:off x="1961570" y="1665649"/>
        <a:ext cx="2496312" cy="409059"/>
      </dsp:txXfrm>
    </dsp:sp>
    <dsp:sp modelId="{79AF5D39-F0BF-4A7F-A6DE-FE570DEC5122}">
      <dsp:nvSpPr>
        <dsp:cNvPr id="0" name=""/>
        <dsp:cNvSpPr/>
      </dsp:nvSpPr>
      <dsp:spPr>
        <a:xfrm>
          <a:off x="3414256" y="622023"/>
          <a:ext cx="2037548" cy="24963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360768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baseline="0"/>
            <a:t>NIV will be managed in the usual way.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kern="1200" baseline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baseline="0"/>
            <a:t>COVID -VE patients do STILL require enhanced PPE unless they carry an alternive infection risk.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kern="1200" baseline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baseline="0"/>
            <a:t>NIV will be weaned in the usual way converting to oxygen via a conventional face mask.</a:t>
          </a:r>
        </a:p>
      </dsp:txBody>
      <dsp:txXfrm>
        <a:off x="3414256" y="622023"/>
        <a:ext cx="2037548" cy="2496312"/>
      </dsp:txXfrm>
    </dsp:sp>
    <dsp:sp modelId="{B9008D4D-7BDB-4C8E-B373-08B3B60299B1}">
      <dsp:nvSpPr>
        <dsp:cNvPr id="0" name=""/>
        <dsp:cNvSpPr/>
      </dsp:nvSpPr>
      <dsp:spPr>
        <a:xfrm>
          <a:off x="3005197" y="82064"/>
          <a:ext cx="818118" cy="818118"/>
        </a:xfrm>
        <a:prstGeom prst="rect">
          <a:avLst/>
        </a:prstGeom>
        <a:blipFill rotWithShape="1">
          <a:blip xmlns:r="http://schemas.openxmlformats.org/officeDocument/2006/relationships" r:embed="rId2"/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Twite</dc:creator>
  <cp:lastModifiedBy>Lynsey Thomas</cp:lastModifiedBy>
  <cp:revision>2</cp:revision>
  <dcterms:created xsi:type="dcterms:W3CDTF">2021-12-10T15:45:00Z</dcterms:created>
  <dcterms:modified xsi:type="dcterms:W3CDTF">2021-12-10T15:45:00Z</dcterms:modified>
</cp:coreProperties>
</file>